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7D3" w:rsidRPr="00AE6299" w:rsidRDefault="007227D3" w:rsidP="007227D3">
      <w:pPr>
        <w:ind w:left="1843" w:right="1983"/>
        <w:jc w:val="both"/>
        <w:rPr>
          <w:rFonts w:ascii="Tahoma" w:hAnsi="Tahoma" w:cs="Tahoma"/>
          <w:i/>
          <w:sz w:val="20"/>
          <w:szCs w:val="20"/>
        </w:rPr>
      </w:pPr>
      <w:r w:rsidRPr="00AE6299">
        <w:rPr>
          <w:rFonts w:ascii="Tahoma" w:hAnsi="Tahoma" w:cs="Tahoma"/>
          <w:b/>
          <w:i/>
          <w:sz w:val="20"/>
          <w:szCs w:val="20"/>
        </w:rPr>
        <w:t>Sumilla   :</w:t>
      </w:r>
      <w:r w:rsidRPr="00AE6299">
        <w:rPr>
          <w:rFonts w:ascii="Tahoma" w:hAnsi="Tahoma" w:cs="Tahoma"/>
          <w:i/>
          <w:sz w:val="20"/>
          <w:szCs w:val="20"/>
        </w:rPr>
        <w:t xml:space="preserve"> </w:t>
      </w:r>
      <w:r w:rsidRPr="00AE6299">
        <w:rPr>
          <w:rFonts w:ascii="Tahoma" w:hAnsi="Tahoma" w:cs="Tahoma"/>
          <w:i/>
          <w:sz w:val="20"/>
          <w:szCs w:val="20"/>
        </w:rPr>
        <w:tab/>
        <w:t>“</w:t>
      </w:r>
      <w:r w:rsidR="00253704" w:rsidRPr="00253704">
        <w:rPr>
          <w:rFonts w:ascii="Tahoma" w:hAnsi="Tahoma" w:cs="Tahoma"/>
          <w:i/>
          <w:sz w:val="18"/>
          <w:szCs w:val="18"/>
        </w:rPr>
        <w:t xml:space="preserve">No se configura la infracción consistente en la resolución de la orden de compra por incumplimiento injustificado de las obligaciones asumidas por el contratista, si </w:t>
      </w:r>
      <w:smartTag w:uri="urn:schemas-microsoft-com:office:smarttags" w:element="PersonName">
        <w:smartTagPr>
          <w:attr w:name="ProductID" w:val="la Entidad"/>
        </w:smartTagPr>
        <w:r w:rsidR="00253704" w:rsidRPr="00253704">
          <w:rPr>
            <w:rFonts w:ascii="Tahoma" w:hAnsi="Tahoma" w:cs="Tahoma"/>
            <w:i/>
            <w:sz w:val="18"/>
            <w:szCs w:val="18"/>
          </w:rPr>
          <w:t>la Entidad</w:t>
        </w:r>
      </w:smartTag>
      <w:r w:rsidR="00253704" w:rsidRPr="00253704">
        <w:rPr>
          <w:rFonts w:ascii="Tahoma" w:hAnsi="Tahoma" w:cs="Tahoma"/>
          <w:i/>
          <w:sz w:val="18"/>
          <w:szCs w:val="18"/>
        </w:rPr>
        <w:t xml:space="preserve"> no ha seguido el procedimiento establecido para proceder a dicha resolución</w:t>
      </w:r>
      <w:r w:rsidRPr="00253704">
        <w:rPr>
          <w:rFonts w:ascii="Tahoma" w:hAnsi="Tahoma" w:cs="Tahoma"/>
          <w:i/>
          <w:sz w:val="18"/>
          <w:szCs w:val="18"/>
        </w:rPr>
        <w:t>.”</w:t>
      </w:r>
    </w:p>
    <w:p w:rsidR="007227D3" w:rsidRPr="00EF6D22" w:rsidRDefault="007227D3" w:rsidP="007227D3">
      <w:pPr>
        <w:pStyle w:val="Textoindependiente3"/>
        <w:spacing w:after="0"/>
        <w:rPr>
          <w:rFonts w:ascii="Tahoma" w:hAnsi="Tahoma" w:cs="Tahoma"/>
          <w:i/>
          <w:sz w:val="22"/>
          <w:szCs w:val="22"/>
          <w:lang w:val="es-ES"/>
        </w:rPr>
      </w:pPr>
    </w:p>
    <w:p w:rsidR="007227D3" w:rsidRPr="00EF6D22" w:rsidRDefault="007227D3" w:rsidP="007227D3">
      <w:pPr>
        <w:pStyle w:val="Textoindependiente3"/>
        <w:spacing w:after="0"/>
        <w:ind w:left="5387"/>
        <w:jc w:val="both"/>
        <w:rPr>
          <w:rFonts w:ascii="Tahoma" w:hAnsi="Tahoma" w:cs="Tahoma"/>
          <w:b/>
          <w:sz w:val="22"/>
          <w:szCs w:val="22"/>
        </w:rPr>
      </w:pPr>
      <w:r w:rsidRPr="00EF6D22">
        <w:rPr>
          <w:rFonts w:ascii="Tahoma" w:hAnsi="Tahoma" w:cs="Tahoma"/>
          <w:b/>
          <w:sz w:val="22"/>
          <w:szCs w:val="22"/>
        </w:rPr>
        <w:t>Lima,</w:t>
      </w:r>
      <w:r w:rsidR="000F392F">
        <w:rPr>
          <w:rFonts w:ascii="Tahoma" w:hAnsi="Tahoma" w:cs="Tahoma"/>
          <w:b/>
          <w:sz w:val="22"/>
          <w:szCs w:val="22"/>
        </w:rPr>
        <w:t xml:space="preserve"> 27 de Julio de 2011</w:t>
      </w:r>
    </w:p>
    <w:p w:rsidR="007227D3" w:rsidRPr="00EF6D22" w:rsidRDefault="007227D3" w:rsidP="007227D3">
      <w:pPr>
        <w:pStyle w:val="Textoindependiente3"/>
        <w:spacing w:after="0"/>
        <w:ind w:left="5387"/>
        <w:jc w:val="both"/>
        <w:rPr>
          <w:rFonts w:ascii="Tahoma" w:hAnsi="Tahoma" w:cs="Tahoma"/>
          <w:b/>
          <w:sz w:val="22"/>
          <w:szCs w:val="22"/>
        </w:rPr>
      </w:pPr>
    </w:p>
    <w:p w:rsidR="007227D3" w:rsidRPr="00A12720" w:rsidRDefault="007227D3" w:rsidP="007227D3">
      <w:pPr>
        <w:ind w:firstLine="567"/>
        <w:contextualSpacing/>
        <w:jc w:val="both"/>
        <w:rPr>
          <w:rFonts w:ascii="Tahoma" w:hAnsi="Tahoma" w:cs="Tahoma"/>
          <w:sz w:val="23"/>
          <w:szCs w:val="23"/>
        </w:rPr>
      </w:pPr>
      <w:r w:rsidRPr="00A12720">
        <w:rPr>
          <w:rFonts w:ascii="Tahoma" w:hAnsi="Tahoma" w:cs="Tahoma"/>
          <w:b/>
          <w:sz w:val="23"/>
          <w:szCs w:val="23"/>
        </w:rPr>
        <w:t xml:space="preserve">Visto </w:t>
      </w:r>
      <w:r>
        <w:rPr>
          <w:rFonts w:ascii="Tahoma" w:hAnsi="Tahoma" w:cs="Tahoma"/>
          <w:sz w:val="23"/>
          <w:szCs w:val="23"/>
        </w:rPr>
        <w:t>en sesión de fecha 25</w:t>
      </w:r>
      <w:r w:rsidRPr="00A12720">
        <w:rPr>
          <w:rFonts w:ascii="Tahoma" w:hAnsi="Tahoma" w:cs="Tahoma"/>
          <w:sz w:val="23"/>
          <w:szCs w:val="23"/>
        </w:rPr>
        <w:t xml:space="preserve"> de julio de 2011 la Primera Sala del Tribunal de Contrataciones del Estado el Expediente N°</w:t>
      </w:r>
      <w:r>
        <w:rPr>
          <w:rFonts w:ascii="Tahoma" w:hAnsi="Tahoma" w:cs="Tahoma"/>
          <w:b/>
          <w:sz w:val="22"/>
          <w:szCs w:val="22"/>
        </w:rPr>
        <w:t xml:space="preserve"> </w:t>
      </w:r>
      <w:r w:rsidR="00B54AF8">
        <w:rPr>
          <w:rFonts w:ascii="Tahoma" w:hAnsi="Tahoma" w:cs="Tahoma"/>
          <w:sz w:val="22"/>
          <w:szCs w:val="22"/>
        </w:rPr>
        <w:t>4</w:t>
      </w:r>
      <w:r>
        <w:rPr>
          <w:rFonts w:ascii="Tahoma" w:hAnsi="Tahoma" w:cs="Tahoma"/>
          <w:sz w:val="22"/>
          <w:szCs w:val="22"/>
        </w:rPr>
        <w:t>600-2008</w:t>
      </w:r>
      <w:r w:rsidRPr="00A12720">
        <w:rPr>
          <w:rFonts w:ascii="Tahoma" w:hAnsi="Tahoma" w:cs="Tahoma"/>
          <w:sz w:val="22"/>
          <w:szCs w:val="22"/>
        </w:rPr>
        <w:t>.TC</w:t>
      </w:r>
      <w:r w:rsidRPr="00A12720">
        <w:rPr>
          <w:rFonts w:ascii="Tahoma" w:hAnsi="Tahoma" w:cs="Tahoma"/>
          <w:sz w:val="23"/>
          <w:szCs w:val="23"/>
        </w:rPr>
        <w:t xml:space="preserve">; sobre el procedimiento administrativo sancionador iniciado contra </w:t>
      </w:r>
      <w:r w:rsidRPr="00301C82">
        <w:rPr>
          <w:rFonts w:ascii="Tahoma" w:hAnsi="Tahoma" w:cs="Tahoma"/>
          <w:sz w:val="22"/>
          <w:szCs w:val="22"/>
        </w:rPr>
        <w:t>QUIÑONES FARIAS BRENDA LEE</w:t>
      </w:r>
      <w:r w:rsidRPr="00A12720">
        <w:rPr>
          <w:rFonts w:ascii="Tahoma" w:hAnsi="Tahoma" w:cs="Tahoma"/>
          <w:sz w:val="23"/>
          <w:szCs w:val="23"/>
        </w:rPr>
        <w:t>,</w:t>
      </w:r>
      <w:r w:rsidRPr="00A12720">
        <w:rPr>
          <w:rFonts w:ascii="Tahoma" w:eastAsia="MS Mincho" w:hAnsi="Tahoma" w:cs="Tahoma"/>
          <w:sz w:val="23"/>
          <w:szCs w:val="23"/>
        </w:rPr>
        <w:t xml:space="preserve"> </w:t>
      </w:r>
      <w:r w:rsidRPr="00A12720">
        <w:rPr>
          <w:rFonts w:ascii="Tahoma" w:hAnsi="Tahoma" w:cs="Tahoma"/>
          <w:sz w:val="23"/>
          <w:szCs w:val="23"/>
        </w:rPr>
        <w:t xml:space="preserve">por supuesta responsabilidad </w:t>
      </w:r>
      <w:r>
        <w:rPr>
          <w:rFonts w:ascii="Tahoma" w:hAnsi="Tahoma" w:cs="Tahoma"/>
          <w:sz w:val="23"/>
          <w:szCs w:val="23"/>
        </w:rPr>
        <w:t xml:space="preserve">al dar lugar a la resolución de </w:t>
      </w:r>
      <w:r>
        <w:rPr>
          <w:rFonts w:ascii="Tahoma" w:hAnsi="Tahoma" w:cs="Tahoma"/>
          <w:sz w:val="22"/>
          <w:szCs w:val="22"/>
        </w:rPr>
        <w:t>la Orden de Compra Nº 4500947079, derivada de la Adjudicación de Menor Cuantía Nº 0892M01041 (MC Nº 104-INCOR-ESSALUD-2008) (PRIMERA CONVOCATORIA)</w:t>
      </w:r>
      <w:r>
        <w:rPr>
          <w:rFonts w:ascii="Tahoma" w:hAnsi="Tahoma" w:cs="Tahoma"/>
          <w:sz w:val="23"/>
          <w:szCs w:val="23"/>
        </w:rPr>
        <w:t>.</w:t>
      </w:r>
    </w:p>
    <w:p w:rsidR="007227D3" w:rsidRPr="00A12720" w:rsidRDefault="007227D3" w:rsidP="007227D3">
      <w:pPr>
        <w:ind w:firstLine="567"/>
        <w:contextualSpacing/>
        <w:jc w:val="both"/>
        <w:rPr>
          <w:rFonts w:ascii="Tahoma" w:hAnsi="Tahoma" w:cs="Tahoma"/>
          <w:b/>
          <w:sz w:val="23"/>
          <w:szCs w:val="23"/>
          <w:lang w:val="es-ES_tradnl"/>
        </w:rPr>
      </w:pPr>
    </w:p>
    <w:p w:rsidR="007227D3" w:rsidRPr="00A12720" w:rsidRDefault="007227D3" w:rsidP="007227D3">
      <w:pPr>
        <w:pStyle w:val="Prrafodelista"/>
        <w:ind w:left="567"/>
        <w:rPr>
          <w:rFonts w:ascii="Tahoma" w:hAnsi="Tahoma" w:cs="Tahoma"/>
          <w:b/>
          <w:sz w:val="23"/>
          <w:szCs w:val="23"/>
        </w:rPr>
      </w:pPr>
      <w:r w:rsidRPr="00A12720">
        <w:rPr>
          <w:rFonts w:ascii="Tahoma" w:hAnsi="Tahoma" w:cs="Tahoma"/>
          <w:b/>
          <w:sz w:val="23"/>
          <w:szCs w:val="23"/>
        </w:rPr>
        <w:t>ANTECEDENTES:</w:t>
      </w:r>
    </w:p>
    <w:p w:rsidR="007227D3" w:rsidRPr="00A12720" w:rsidRDefault="007227D3" w:rsidP="007227D3">
      <w:pPr>
        <w:jc w:val="both"/>
        <w:rPr>
          <w:rFonts w:ascii="Tahoma" w:hAnsi="Tahoma" w:cs="Tahoma"/>
          <w:b/>
          <w:sz w:val="23"/>
          <w:szCs w:val="23"/>
          <w:lang w:eastAsia="es-PE"/>
        </w:rPr>
      </w:pPr>
    </w:p>
    <w:p w:rsidR="007227D3" w:rsidRPr="00FD7CEB" w:rsidRDefault="007227D3" w:rsidP="007227D3">
      <w:pPr>
        <w:pStyle w:val="Prrafodelista"/>
        <w:widowControl/>
        <w:numPr>
          <w:ilvl w:val="0"/>
          <w:numId w:val="6"/>
        </w:numPr>
        <w:suppressAutoHyphens w:val="0"/>
        <w:ind w:left="567" w:hanging="567"/>
        <w:contextualSpacing/>
        <w:jc w:val="both"/>
        <w:rPr>
          <w:rFonts w:ascii="Tahoma" w:hAnsi="Tahoma" w:cs="Tahoma"/>
          <w:sz w:val="22"/>
          <w:szCs w:val="22"/>
        </w:rPr>
      </w:pPr>
      <w:r>
        <w:rPr>
          <w:rFonts w:ascii="Tahoma" w:hAnsi="Tahoma" w:cs="Tahoma"/>
          <w:sz w:val="22"/>
          <w:szCs w:val="22"/>
        </w:rPr>
        <w:t>El 08 de mayo del 2007</w:t>
      </w:r>
      <w:r w:rsidRPr="00FD7CEB">
        <w:rPr>
          <w:rFonts w:ascii="Tahoma" w:hAnsi="Tahoma" w:cs="Tahoma"/>
          <w:sz w:val="22"/>
          <w:szCs w:val="22"/>
        </w:rPr>
        <w:t xml:space="preserve">, </w:t>
      </w:r>
      <w:r>
        <w:rPr>
          <w:rFonts w:ascii="Tahoma" w:hAnsi="Tahoma" w:cs="Tahoma"/>
          <w:sz w:val="22"/>
          <w:szCs w:val="22"/>
        </w:rPr>
        <w:t xml:space="preserve">el </w:t>
      </w:r>
      <w:r w:rsidRPr="00F4486B">
        <w:rPr>
          <w:rFonts w:ascii="Tahoma" w:hAnsi="Tahoma" w:cs="Tahoma"/>
          <w:sz w:val="22"/>
          <w:szCs w:val="22"/>
        </w:rPr>
        <w:t>INSTITUTO NACIONAL DEL CORAZON - ESSALUD</w:t>
      </w:r>
      <w:r w:rsidRPr="00FD7CEB">
        <w:rPr>
          <w:rFonts w:ascii="Tahoma" w:hAnsi="Tahoma" w:cs="Tahoma"/>
          <w:sz w:val="22"/>
          <w:szCs w:val="22"/>
        </w:rPr>
        <w:t xml:space="preserve">, en lo sucesivo la Entidad, convocó </w:t>
      </w:r>
      <w:r>
        <w:rPr>
          <w:rFonts w:ascii="Tahoma" w:hAnsi="Tahoma" w:cs="Tahoma"/>
          <w:sz w:val="22"/>
          <w:szCs w:val="22"/>
        </w:rPr>
        <w:t>la Adjudicación de Menor Cuantía Nº 0892M01041 (MC Nº 104-INCOR-ESSALUD-2008) (PRIMERA CONVOCATORIA), para el</w:t>
      </w:r>
      <w:r w:rsidRPr="00FD7CEB">
        <w:rPr>
          <w:rFonts w:ascii="Tahoma" w:hAnsi="Tahoma" w:cs="Tahoma"/>
          <w:sz w:val="22"/>
          <w:szCs w:val="22"/>
        </w:rPr>
        <w:t xml:space="preserve"> “</w:t>
      </w:r>
      <w:r>
        <w:rPr>
          <w:rFonts w:ascii="Tahoma" w:hAnsi="Tahoma" w:cs="Tahoma"/>
          <w:sz w:val="22"/>
          <w:szCs w:val="22"/>
        </w:rPr>
        <w:t>Servicio de mantenimiento y reparación de bienes muebles del INCOR</w:t>
      </w:r>
      <w:r w:rsidRPr="00FD7CEB">
        <w:rPr>
          <w:rFonts w:ascii="Tahoma" w:hAnsi="Tahoma" w:cs="Tahoma"/>
          <w:bCs/>
          <w:sz w:val="22"/>
          <w:szCs w:val="22"/>
        </w:rPr>
        <w:t>”</w:t>
      </w:r>
      <w:r w:rsidRPr="00FD7CEB">
        <w:rPr>
          <w:rFonts w:ascii="Tahoma" w:hAnsi="Tahoma" w:cs="Tahoma"/>
          <w:sz w:val="22"/>
          <w:szCs w:val="22"/>
        </w:rPr>
        <w:t xml:space="preserve">, por un valor referencial ascendente a S/. </w:t>
      </w:r>
      <w:r>
        <w:rPr>
          <w:rFonts w:ascii="Tahoma" w:hAnsi="Tahoma" w:cs="Tahoma"/>
          <w:sz w:val="22"/>
          <w:szCs w:val="22"/>
        </w:rPr>
        <w:t>85,800.00</w:t>
      </w:r>
      <w:r w:rsidRPr="00FD7CEB">
        <w:rPr>
          <w:rFonts w:ascii="Tahoma" w:hAnsi="Tahoma" w:cs="Tahoma"/>
          <w:sz w:val="22"/>
          <w:szCs w:val="22"/>
        </w:rPr>
        <w:t xml:space="preserve"> (</w:t>
      </w:r>
      <w:r>
        <w:rPr>
          <w:rFonts w:ascii="Tahoma" w:hAnsi="Tahoma" w:cs="Tahoma"/>
          <w:sz w:val="22"/>
          <w:szCs w:val="22"/>
        </w:rPr>
        <w:t>Ochenta y cinco mil ochocientos con</w:t>
      </w:r>
      <w:r w:rsidRPr="00FD7CEB">
        <w:rPr>
          <w:rFonts w:ascii="Tahoma" w:hAnsi="Tahoma" w:cs="Tahoma"/>
          <w:sz w:val="22"/>
          <w:szCs w:val="22"/>
        </w:rPr>
        <w:t xml:space="preserve"> 00/100 Nuevos Soles).</w:t>
      </w:r>
    </w:p>
    <w:p w:rsidR="007227D3" w:rsidRPr="00FD7CEB" w:rsidRDefault="007227D3" w:rsidP="007227D3">
      <w:pPr>
        <w:pStyle w:val="Prrafodelista"/>
        <w:ind w:left="567"/>
        <w:contextualSpacing/>
        <w:jc w:val="both"/>
        <w:rPr>
          <w:rFonts w:ascii="Tahoma" w:hAnsi="Tahoma" w:cs="Tahoma"/>
          <w:sz w:val="22"/>
          <w:szCs w:val="22"/>
        </w:rPr>
      </w:pPr>
    </w:p>
    <w:p w:rsidR="007227D3" w:rsidRDefault="007227D3" w:rsidP="007227D3">
      <w:pPr>
        <w:pStyle w:val="Prrafodelista"/>
        <w:widowControl/>
        <w:numPr>
          <w:ilvl w:val="0"/>
          <w:numId w:val="6"/>
        </w:numPr>
        <w:suppressAutoHyphens w:val="0"/>
        <w:ind w:left="567" w:hanging="567"/>
        <w:contextualSpacing/>
        <w:jc w:val="both"/>
        <w:rPr>
          <w:rFonts w:ascii="Tahoma" w:hAnsi="Tahoma" w:cs="Tahoma"/>
          <w:sz w:val="22"/>
          <w:szCs w:val="22"/>
        </w:rPr>
      </w:pPr>
      <w:r>
        <w:rPr>
          <w:rFonts w:ascii="Tahoma" w:hAnsi="Tahoma" w:cs="Tahoma"/>
          <w:sz w:val="22"/>
          <w:szCs w:val="22"/>
        </w:rPr>
        <w:t>Con fecha 13 de mayo del 2008</w:t>
      </w:r>
      <w:r w:rsidRPr="00FD7CEB">
        <w:rPr>
          <w:rFonts w:ascii="Tahoma" w:hAnsi="Tahoma" w:cs="Tahoma"/>
          <w:sz w:val="22"/>
          <w:szCs w:val="22"/>
        </w:rPr>
        <w:t>, el Comité Especial otorgó la buena pro del acotado proceso de se</w:t>
      </w:r>
      <w:r>
        <w:rPr>
          <w:rFonts w:ascii="Tahoma" w:hAnsi="Tahoma" w:cs="Tahoma"/>
          <w:sz w:val="22"/>
          <w:szCs w:val="22"/>
        </w:rPr>
        <w:t xml:space="preserve">lección a favor de </w:t>
      </w:r>
      <w:r w:rsidRPr="00301C82">
        <w:rPr>
          <w:rFonts w:ascii="Tahoma" w:hAnsi="Tahoma" w:cs="Tahoma"/>
          <w:sz w:val="22"/>
          <w:szCs w:val="22"/>
        </w:rPr>
        <w:t>QUIÑONES FARIAS BRENDA LEE</w:t>
      </w:r>
      <w:r>
        <w:rPr>
          <w:rFonts w:ascii="Tahoma" w:hAnsi="Tahoma" w:cs="Tahoma"/>
          <w:sz w:val="22"/>
          <w:szCs w:val="22"/>
        </w:rPr>
        <w:t>,</w:t>
      </w:r>
      <w:r w:rsidRPr="00FD7CEB">
        <w:rPr>
          <w:rFonts w:ascii="Tahoma" w:hAnsi="Tahoma" w:cs="Tahoma"/>
          <w:sz w:val="22"/>
          <w:szCs w:val="22"/>
        </w:rPr>
        <w:t xml:space="preserve"> en adelante </w:t>
      </w:r>
      <w:r>
        <w:rPr>
          <w:rFonts w:ascii="Tahoma" w:hAnsi="Tahoma" w:cs="Tahoma"/>
          <w:sz w:val="22"/>
          <w:szCs w:val="22"/>
        </w:rPr>
        <w:t>la Contratista</w:t>
      </w:r>
      <w:r w:rsidRPr="00FD7CEB">
        <w:rPr>
          <w:rFonts w:ascii="Tahoma" w:hAnsi="Tahoma" w:cs="Tahoma"/>
          <w:sz w:val="22"/>
          <w:szCs w:val="22"/>
        </w:rPr>
        <w:t>.</w:t>
      </w:r>
    </w:p>
    <w:p w:rsidR="007227D3" w:rsidRPr="00301C82" w:rsidRDefault="007227D3" w:rsidP="007227D3">
      <w:pPr>
        <w:pStyle w:val="Prrafodelista"/>
        <w:rPr>
          <w:rFonts w:ascii="Tahoma" w:hAnsi="Tahoma" w:cs="Tahoma"/>
          <w:sz w:val="22"/>
          <w:szCs w:val="22"/>
        </w:rPr>
      </w:pPr>
    </w:p>
    <w:p w:rsidR="007227D3" w:rsidRDefault="007227D3" w:rsidP="007227D3">
      <w:pPr>
        <w:pStyle w:val="Prrafodelista"/>
        <w:widowControl/>
        <w:numPr>
          <w:ilvl w:val="0"/>
          <w:numId w:val="6"/>
        </w:numPr>
        <w:suppressAutoHyphens w:val="0"/>
        <w:ind w:left="567" w:hanging="567"/>
        <w:contextualSpacing/>
        <w:jc w:val="both"/>
        <w:rPr>
          <w:rFonts w:ascii="Tahoma" w:hAnsi="Tahoma" w:cs="Tahoma"/>
          <w:sz w:val="22"/>
          <w:szCs w:val="22"/>
        </w:rPr>
      </w:pPr>
      <w:r>
        <w:rPr>
          <w:rFonts w:ascii="Tahoma" w:hAnsi="Tahoma" w:cs="Tahoma"/>
          <w:sz w:val="22"/>
          <w:szCs w:val="22"/>
        </w:rPr>
        <w:t>El 02 de junio del 2008, la Entidad emitió la Orden de Compra Nº 4500947079, a fin que la Contratista cumpla con sus obligaciones contractuales.</w:t>
      </w:r>
    </w:p>
    <w:p w:rsidR="007227D3" w:rsidRPr="00301C82" w:rsidRDefault="007227D3" w:rsidP="007227D3">
      <w:pPr>
        <w:pStyle w:val="Prrafodelista"/>
        <w:rPr>
          <w:rFonts w:ascii="Tahoma" w:hAnsi="Tahoma" w:cs="Tahoma"/>
          <w:sz w:val="22"/>
          <w:szCs w:val="22"/>
        </w:rPr>
      </w:pPr>
    </w:p>
    <w:p w:rsidR="007227D3" w:rsidRDefault="007227D3" w:rsidP="007227D3">
      <w:pPr>
        <w:pStyle w:val="Prrafodelista"/>
        <w:widowControl/>
        <w:numPr>
          <w:ilvl w:val="0"/>
          <w:numId w:val="6"/>
        </w:numPr>
        <w:suppressAutoHyphens w:val="0"/>
        <w:ind w:left="567" w:hanging="567"/>
        <w:contextualSpacing/>
        <w:jc w:val="both"/>
        <w:rPr>
          <w:rFonts w:ascii="Tahoma" w:hAnsi="Tahoma" w:cs="Tahoma"/>
          <w:sz w:val="22"/>
          <w:szCs w:val="22"/>
        </w:rPr>
      </w:pPr>
      <w:r>
        <w:rPr>
          <w:rFonts w:ascii="Tahoma" w:hAnsi="Tahoma" w:cs="Tahoma"/>
          <w:sz w:val="22"/>
          <w:szCs w:val="22"/>
        </w:rPr>
        <w:t>A través de la Carta Nº 1001-GER-INCOR-ESSALUD-2008 diligenciada vía notarial el 17 de setiembre del 2008, Carta Nº 1056-GER-INCOR-ESSALUD-2008 diligenciada notarialmente el 10 de octubre del 2008 y la Carta Nº 1118-GER-INCOR-ESSALUD-2008 diligenciada notarialmente 17 de octubre del 2008, la Entidad comunicó a la Contratista, el incumplimiento de sus obligaciones contractuales, por lo cual, le otorgó dos días hábiles, a fin que cumpla con presentar el informe correspondiente y prestar de manera continua el servicio de mantenimiento y reparación de bienes muebles, de conformidad con las condiciones y características establecidas en el proceso de selección y su propuesta presentada, bajo apercibimiento de resolver la relación contractual.</w:t>
      </w:r>
    </w:p>
    <w:p w:rsidR="007227D3" w:rsidRPr="00301C82" w:rsidRDefault="007227D3" w:rsidP="007227D3">
      <w:pPr>
        <w:pStyle w:val="Prrafodelista"/>
        <w:rPr>
          <w:rFonts w:ascii="Tahoma" w:hAnsi="Tahoma" w:cs="Tahoma"/>
          <w:sz w:val="22"/>
          <w:szCs w:val="22"/>
        </w:rPr>
      </w:pPr>
    </w:p>
    <w:p w:rsidR="007227D3" w:rsidRDefault="007227D3" w:rsidP="007227D3">
      <w:pPr>
        <w:pStyle w:val="Prrafodelista"/>
        <w:widowControl/>
        <w:numPr>
          <w:ilvl w:val="0"/>
          <w:numId w:val="6"/>
        </w:numPr>
        <w:suppressAutoHyphens w:val="0"/>
        <w:ind w:left="567" w:hanging="567"/>
        <w:contextualSpacing/>
        <w:jc w:val="both"/>
        <w:rPr>
          <w:rFonts w:ascii="Tahoma" w:hAnsi="Tahoma" w:cs="Tahoma"/>
          <w:sz w:val="22"/>
          <w:szCs w:val="22"/>
        </w:rPr>
      </w:pPr>
      <w:r>
        <w:rPr>
          <w:rFonts w:ascii="Tahoma" w:hAnsi="Tahoma" w:cs="Tahoma"/>
          <w:sz w:val="22"/>
          <w:szCs w:val="22"/>
        </w:rPr>
        <w:lastRenderedPageBreak/>
        <w:t>Mediante escrito presentado ante la Entidad el 28 de octubre del 2008, la Contratista absolvió los requerimientos de cumplimiento de obligaciones contractuales, efectuados mediante las acotadas cartas.</w:t>
      </w:r>
    </w:p>
    <w:p w:rsidR="007227D3" w:rsidRPr="00F31A5B" w:rsidRDefault="007227D3" w:rsidP="007227D3">
      <w:pPr>
        <w:pStyle w:val="Prrafodelista"/>
        <w:rPr>
          <w:rFonts w:ascii="Tahoma" w:hAnsi="Tahoma" w:cs="Tahoma"/>
          <w:sz w:val="22"/>
          <w:szCs w:val="22"/>
        </w:rPr>
      </w:pPr>
    </w:p>
    <w:p w:rsidR="007227D3" w:rsidRDefault="007227D3" w:rsidP="007227D3">
      <w:pPr>
        <w:pStyle w:val="Prrafodelista"/>
        <w:widowControl/>
        <w:numPr>
          <w:ilvl w:val="0"/>
          <w:numId w:val="6"/>
        </w:numPr>
        <w:suppressAutoHyphens w:val="0"/>
        <w:ind w:left="567" w:hanging="567"/>
        <w:contextualSpacing/>
        <w:jc w:val="both"/>
        <w:rPr>
          <w:rFonts w:ascii="Tahoma" w:hAnsi="Tahoma" w:cs="Tahoma"/>
          <w:sz w:val="22"/>
          <w:szCs w:val="22"/>
        </w:rPr>
      </w:pPr>
      <w:r>
        <w:rPr>
          <w:rFonts w:ascii="Tahoma" w:hAnsi="Tahoma" w:cs="Tahoma"/>
          <w:sz w:val="22"/>
          <w:szCs w:val="22"/>
        </w:rPr>
        <w:t>Con Resolución de Gerencia Nº 158-GER-INCOR-ESSALUD-2008 de fecha 06 de noviembre del 2008, la Entidad resolvió la Orden de Compra Nº 4500947079, por incumplimiento de obligaciones contractuales y paralización del servicio, por parte de la Contratista.</w:t>
      </w:r>
    </w:p>
    <w:p w:rsidR="007227D3" w:rsidRPr="00F31A5B" w:rsidRDefault="007227D3" w:rsidP="007227D3">
      <w:pPr>
        <w:pStyle w:val="Prrafodelista"/>
        <w:rPr>
          <w:rFonts w:ascii="Tahoma" w:hAnsi="Tahoma" w:cs="Tahoma"/>
          <w:sz w:val="22"/>
          <w:szCs w:val="22"/>
        </w:rPr>
      </w:pPr>
    </w:p>
    <w:p w:rsidR="007227D3" w:rsidRDefault="007227D3" w:rsidP="007227D3">
      <w:pPr>
        <w:pStyle w:val="Prrafodelista"/>
        <w:widowControl/>
        <w:numPr>
          <w:ilvl w:val="0"/>
          <w:numId w:val="6"/>
        </w:numPr>
        <w:suppressAutoHyphens w:val="0"/>
        <w:ind w:left="567" w:hanging="567"/>
        <w:contextualSpacing/>
        <w:jc w:val="both"/>
        <w:rPr>
          <w:rFonts w:ascii="Tahoma" w:hAnsi="Tahoma" w:cs="Tahoma"/>
          <w:sz w:val="22"/>
          <w:szCs w:val="22"/>
        </w:rPr>
      </w:pPr>
      <w:r>
        <w:rPr>
          <w:rFonts w:ascii="Tahoma" w:hAnsi="Tahoma" w:cs="Tahoma"/>
          <w:sz w:val="22"/>
          <w:szCs w:val="22"/>
        </w:rPr>
        <w:t>A través de la Carta Nº 1255-GER-INCOR-ESSALUD-2008 presentado el 18 de noviembre del 2008, la Entidad puso en conocimiento de este Tribunal de Contrataciones del Estado, en adelante el Tribunal, los hechos antes expuestos.</w:t>
      </w:r>
    </w:p>
    <w:p w:rsidR="007227D3" w:rsidRPr="00F31A5B" w:rsidRDefault="007227D3" w:rsidP="007227D3">
      <w:pPr>
        <w:pStyle w:val="Prrafodelista"/>
        <w:rPr>
          <w:rFonts w:ascii="Tahoma" w:hAnsi="Tahoma" w:cs="Tahoma"/>
          <w:sz w:val="22"/>
          <w:szCs w:val="22"/>
        </w:rPr>
      </w:pPr>
    </w:p>
    <w:p w:rsidR="007227D3" w:rsidRDefault="007227D3" w:rsidP="007227D3">
      <w:pPr>
        <w:pStyle w:val="Prrafodelista"/>
        <w:widowControl/>
        <w:numPr>
          <w:ilvl w:val="0"/>
          <w:numId w:val="6"/>
        </w:numPr>
        <w:suppressAutoHyphens w:val="0"/>
        <w:ind w:left="567" w:hanging="567"/>
        <w:contextualSpacing/>
        <w:jc w:val="both"/>
        <w:rPr>
          <w:rFonts w:ascii="Tahoma" w:hAnsi="Tahoma" w:cs="Tahoma"/>
          <w:sz w:val="22"/>
          <w:szCs w:val="22"/>
        </w:rPr>
      </w:pPr>
      <w:r>
        <w:rPr>
          <w:rFonts w:ascii="Tahoma" w:hAnsi="Tahoma" w:cs="Tahoma"/>
          <w:sz w:val="22"/>
          <w:szCs w:val="22"/>
        </w:rPr>
        <w:t>Mediante decreto de fecha 21 de noviembre del 2008, se requirió a la Entidad que cumpla con subsanar su comunicación, debiendo remitir la copia de la carta notarial comunicando la resolución de la Orden de Compra Nº 4500947079, debidamente diligenciada; asimismo, para que precise si el proceso ha sido sometido a proceso arbitral u otro mecanismo de solución de conflictos.</w:t>
      </w:r>
    </w:p>
    <w:p w:rsidR="007227D3" w:rsidRPr="002B5D35" w:rsidRDefault="007227D3" w:rsidP="007227D3">
      <w:pPr>
        <w:pStyle w:val="Prrafodelista"/>
        <w:rPr>
          <w:rFonts w:ascii="Tahoma" w:hAnsi="Tahoma" w:cs="Tahoma"/>
          <w:sz w:val="22"/>
          <w:szCs w:val="22"/>
        </w:rPr>
      </w:pPr>
    </w:p>
    <w:p w:rsidR="007227D3" w:rsidRDefault="007227D3" w:rsidP="007227D3">
      <w:pPr>
        <w:pStyle w:val="Prrafodelista"/>
        <w:widowControl/>
        <w:numPr>
          <w:ilvl w:val="0"/>
          <w:numId w:val="6"/>
        </w:numPr>
        <w:suppressAutoHyphens w:val="0"/>
        <w:ind w:left="567" w:hanging="567"/>
        <w:contextualSpacing/>
        <w:jc w:val="both"/>
        <w:rPr>
          <w:rFonts w:ascii="Tahoma" w:hAnsi="Tahoma" w:cs="Tahoma"/>
          <w:sz w:val="22"/>
          <w:szCs w:val="22"/>
        </w:rPr>
      </w:pPr>
      <w:r>
        <w:rPr>
          <w:rFonts w:ascii="Tahoma" w:hAnsi="Tahoma" w:cs="Tahoma"/>
          <w:sz w:val="22"/>
          <w:szCs w:val="22"/>
        </w:rPr>
        <w:t>Con Carta Nº 004-GER-INCOR-2009 presentada el 06 de enero del 2009, la Entidad informó que la resolución contractual se dio a través de la Resolución de Gerencia Nº 158-GER-INCOR-ESSALUD-2008, el mismo que fue recibida por el señor Gary Quiñónez, identificado con documento de identidad Nº 41716664; asimismo, indicó que a consecuencia de la resolución contractual, no se ha iniciado ningún proceso arbitral ni conciliatorio.</w:t>
      </w:r>
    </w:p>
    <w:p w:rsidR="007227D3" w:rsidRPr="002B5D35" w:rsidRDefault="007227D3" w:rsidP="007227D3">
      <w:pPr>
        <w:pStyle w:val="Prrafodelista"/>
        <w:rPr>
          <w:rFonts w:ascii="Tahoma" w:hAnsi="Tahoma" w:cs="Tahoma"/>
          <w:sz w:val="22"/>
          <w:szCs w:val="22"/>
        </w:rPr>
      </w:pPr>
    </w:p>
    <w:p w:rsidR="007227D3" w:rsidRDefault="007227D3" w:rsidP="007227D3">
      <w:pPr>
        <w:pStyle w:val="Prrafodelista"/>
        <w:widowControl/>
        <w:numPr>
          <w:ilvl w:val="0"/>
          <w:numId w:val="6"/>
        </w:numPr>
        <w:suppressAutoHyphens w:val="0"/>
        <w:ind w:left="567" w:hanging="567"/>
        <w:contextualSpacing/>
        <w:jc w:val="both"/>
        <w:rPr>
          <w:rFonts w:ascii="Tahoma" w:hAnsi="Tahoma" w:cs="Tahoma"/>
          <w:sz w:val="22"/>
          <w:szCs w:val="22"/>
        </w:rPr>
      </w:pPr>
      <w:r>
        <w:rPr>
          <w:rFonts w:ascii="Tahoma" w:hAnsi="Tahoma" w:cs="Tahoma"/>
          <w:sz w:val="22"/>
          <w:szCs w:val="22"/>
        </w:rPr>
        <w:t>A través del decreto de fecha 09 de enero del 2009, se inició procedimiento administrativo sancionador contra la Contratista, por supuesta responsabilidad al haber dado lugar a la resolución de la Orden de Compra Nº 4500947079. Asimismo, se le otorgó el plazo de diez (10) días hábiles, a fin que cumpla con presentar sus descargos.</w:t>
      </w:r>
    </w:p>
    <w:p w:rsidR="007227D3" w:rsidRPr="000B0B8F" w:rsidRDefault="007227D3" w:rsidP="007227D3">
      <w:pPr>
        <w:pStyle w:val="Prrafodelista"/>
        <w:rPr>
          <w:rFonts w:ascii="Tahoma" w:hAnsi="Tahoma" w:cs="Tahoma"/>
          <w:sz w:val="22"/>
          <w:szCs w:val="22"/>
        </w:rPr>
      </w:pPr>
    </w:p>
    <w:p w:rsidR="007227D3" w:rsidRPr="00FD7CEB" w:rsidRDefault="007227D3" w:rsidP="007227D3">
      <w:pPr>
        <w:pStyle w:val="Prrafodelista"/>
        <w:widowControl/>
        <w:numPr>
          <w:ilvl w:val="0"/>
          <w:numId w:val="6"/>
        </w:numPr>
        <w:suppressAutoHyphens w:val="0"/>
        <w:ind w:left="567" w:hanging="567"/>
        <w:contextualSpacing/>
        <w:jc w:val="both"/>
        <w:rPr>
          <w:rFonts w:ascii="Tahoma" w:hAnsi="Tahoma" w:cs="Tahoma"/>
          <w:sz w:val="22"/>
          <w:szCs w:val="22"/>
        </w:rPr>
      </w:pPr>
      <w:r>
        <w:rPr>
          <w:rFonts w:ascii="Tahoma" w:hAnsi="Tahoma" w:cs="Tahoma"/>
          <w:sz w:val="22"/>
          <w:szCs w:val="22"/>
        </w:rPr>
        <w:t>Mediante decreto de fecha 24 de junio del 2009, se hizo efectivo el apercibimiento de resolver con la documentación obrante en autos, toda vez que la Contratista no cumplió con presentar sus descargos dentro del plazo otorgado.</w:t>
      </w:r>
    </w:p>
    <w:p w:rsidR="007227D3" w:rsidRPr="004947E6" w:rsidRDefault="007227D3" w:rsidP="007227D3">
      <w:pPr>
        <w:rPr>
          <w:rFonts w:ascii="Tahoma" w:hAnsi="Tahoma" w:cs="Tahoma"/>
          <w:b/>
          <w:sz w:val="23"/>
          <w:szCs w:val="23"/>
          <w:lang w:val="es-ES_tradnl"/>
        </w:rPr>
      </w:pPr>
    </w:p>
    <w:p w:rsidR="007227D3" w:rsidRPr="00A12720" w:rsidRDefault="007227D3" w:rsidP="007227D3">
      <w:pPr>
        <w:pStyle w:val="Prrafodelista"/>
        <w:ind w:left="567"/>
        <w:rPr>
          <w:rFonts w:ascii="Tahoma" w:hAnsi="Tahoma" w:cs="Tahoma"/>
          <w:b/>
          <w:sz w:val="23"/>
          <w:szCs w:val="23"/>
        </w:rPr>
      </w:pPr>
      <w:r w:rsidRPr="00A12720">
        <w:rPr>
          <w:rFonts w:ascii="Tahoma" w:hAnsi="Tahoma" w:cs="Tahoma"/>
          <w:b/>
          <w:sz w:val="23"/>
          <w:szCs w:val="23"/>
        </w:rPr>
        <w:t>FUNDAMENTACIÓN</w:t>
      </w:r>
    </w:p>
    <w:p w:rsidR="007227D3" w:rsidRPr="00A12720" w:rsidRDefault="007227D3" w:rsidP="007227D3">
      <w:pPr>
        <w:ind w:left="426"/>
        <w:jc w:val="both"/>
        <w:rPr>
          <w:rFonts w:ascii="Tahoma" w:hAnsi="Tahoma" w:cs="Tahoma"/>
          <w:sz w:val="23"/>
          <w:szCs w:val="23"/>
          <w:lang w:eastAsia="es-PE"/>
        </w:rPr>
      </w:pPr>
    </w:p>
    <w:p w:rsidR="007227D3" w:rsidRPr="00FD7CEB" w:rsidRDefault="007227D3" w:rsidP="007227D3">
      <w:pPr>
        <w:pStyle w:val="Sangradetextonormal"/>
        <w:numPr>
          <w:ilvl w:val="0"/>
          <w:numId w:val="3"/>
        </w:numPr>
        <w:tabs>
          <w:tab w:val="clear" w:pos="360"/>
        </w:tabs>
        <w:spacing w:after="0"/>
        <w:ind w:left="567" w:hanging="567"/>
        <w:jc w:val="both"/>
        <w:rPr>
          <w:rFonts w:ascii="Tahoma" w:hAnsi="Tahoma" w:cs="Tahoma"/>
          <w:sz w:val="22"/>
          <w:szCs w:val="22"/>
        </w:rPr>
      </w:pPr>
      <w:r w:rsidRPr="00FD7CEB">
        <w:rPr>
          <w:rFonts w:ascii="Tahoma" w:hAnsi="Tahoma" w:cs="Tahoma"/>
          <w:sz w:val="22"/>
          <w:szCs w:val="22"/>
        </w:rPr>
        <w:t>La infracción por la cual se decretó el inicio del presente procedimiento administrativo sancionador se encontraba prevista en el numeral 2 del artículo 294 del Reglamento de la Ley de Contrataciones y Adquisiciones del Estado, aprobado mediante Decreto Supremo Nº 084-2004-PCM, en adelante el Reglamento, norma vigente al momento de suscitarse los hechos materia de denuncia.</w:t>
      </w:r>
    </w:p>
    <w:p w:rsidR="007227D3" w:rsidRPr="00FD7CEB" w:rsidRDefault="007227D3" w:rsidP="007227D3">
      <w:pPr>
        <w:pStyle w:val="Sangradetextonormal"/>
        <w:spacing w:after="0"/>
        <w:ind w:left="426"/>
        <w:jc w:val="both"/>
        <w:rPr>
          <w:rFonts w:ascii="Tahoma" w:hAnsi="Tahoma" w:cs="Tahoma"/>
          <w:sz w:val="22"/>
          <w:szCs w:val="22"/>
        </w:rPr>
      </w:pPr>
    </w:p>
    <w:p w:rsidR="007227D3" w:rsidRPr="00FD7CEB" w:rsidRDefault="007227D3" w:rsidP="007227D3">
      <w:pPr>
        <w:pStyle w:val="Sangradetextonormal"/>
        <w:numPr>
          <w:ilvl w:val="0"/>
          <w:numId w:val="3"/>
        </w:numPr>
        <w:tabs>
          <w:tab w:val="clear" w:pos="360"/>
        </w:tabs>
        <w:spacing w:after="0"/>
        <w:ind w:left="567" w:hanging="567"/>
        <w:jc w:val="both"/>
        <w:rPr>
          <w:rFonts w:ascii="Tahoma" w:hAnsi="Tahoma" w:cs="Tahoma"/>
          <w:sz w:val="22"/>
          <w:szCs w:val="22"/>
        </w:rPr>
      </w:pPr>
      <w:r w:rsidRPr="00FD7CEB">
        <w:rPr>
          <w:rFonts w:ascii="Tahoma" w:hAnsi="Tahoma" w:cs="Tahoma"/>
          <w:sz w:val="22"/>
          <w:szCs w:val="22"/>
        </w:rPr>
        <w:lastRenderedPageBreak/>
        <w:t>Al respecto, el artículo 225 del Reglamento dispone que la Entidad podrá resolver el contrato, de conformidad con el inciso c) del artículo 41 del Texto Único Ordenado de la Ley de Contrataciones y Adquisiciones del Estado, aprobado mediante Decreto Supremo № 083-2004-PCM, en adelante la Ley, cuando el Contratista incumpla injustificadamente sus obligaciones contractuales, legales o reglamentarias a su cargo, pese a haber sido requerido para ello.</w:t>
      </w:r>
    </w:p>
    <w:p w:rsidR="007227D3" w:rsidRPr="00FD7CEB" w:rsidRDefault="007227D3" w:rsidP="007227D3">
      <w:pPr>
        <w:pStyle w:val="Prrafodelista"/>
        <w:jc w:val="both"/>
        <w:rPr>
          <w:rFonts w:ascii="Tahoma" w:hAnsi="Tahoma" w:cs="Tahoma"/>
          <w:sz w:val="22"/>
          <w:szCs w:val="22"/>
        </w:rPr>
      </w:pPr>
    </w:p>
    <w:p w:rsidR="007227D3" w:rsidRPr="00FD7CEB" w:rsidRDefault="007227D3" w:rsidP="007227D3">
      <w:pPr>
        <w:numPr>
          <w:ilvl w:val="0"/>
          <w:numId w:val="3"/>
        </w:numPr>
        <w:tabs>
          <w:tab w:val="clear" w:pos="360"/>
        </w:tabs>
        <w:ind w:left="567" w:hanging="567"/>
        <w:jc w:val="both"/>
        <w:rPr>
          <w:rFonts w:ascii="Tahoma" w:hAnsi="Tahoma" w:cs="Tahoma"/>
          <w:sz w:val="22"/>
          <w:szCs w:val="22"/>
        </w:rPr>
      </w:pPr>
      <w:r w:rsidRPr="00FD7CEB">
        <w:rPr>
          <w:rFonts w:ascii="Tahoma" w:hAnsi="Tahoma" w:cs="Tahoma"/>
          <w:sz w:val="22"/>
          <w:szCs w:val="22"/>
        </w:rPr>
        <w:t>El procedimiento de resolución contractual, cuya observancia es condición necesaria para evaluar la existencia de eventuales responsabilidades de carácter administrativo, se encuentra previsto en el artículo 226 del Reglamento, según el cual en caso de incumplimiento contractual de una de las partes involucradas, la parte que resulte perjudicada con tal hecho, en este caso la Entidad, requerirá a la otra notarialmente para que satisfaga sus obligaciones en un plazo no mayor de cinco días, bajo apercibimiento de resolver el contrato.  Dependiendo del monto involucrado y de la complejidad, envergadura o sofisticación de la adquisición o contratación, la Entidad podrá establecer plazos mayores, los cuales no superarán en ningún caso los quince días. De continuar el incumplimiento contractual, la citada disposición reglamentaria precisa que la parte perjudicada comunicará notarialmente la resolución total o parcial del contrato.</w:t>
      </w:r>
    </w:p>
    <w:p w:rsidR="007227D3" w:rsidRPr="00FD7CEB" w:rsidRDefault="007227D3" w:rsidP="007227D3">
      <w:pPr>
        <w:pStyle w:val="Prrafodelista"/>
        <w:jc w:val="both"/>
        <w:rPr>
          <w:rFonts w:ascii="Tahoma" w:hAnsi="Tahoma" w:cs="Tahoma"/>
          <w:sz w:val="22"/>
          <w:szCs w:val="22"/>
        </w:rPr>
      </w:pPr>
    </w:p>
    <w:p w:rsidR="007227D3" w:rsidRPr="00FD7CEB" w:rsidRDefault="007227D3" w:rsidP="007227D3">
      <w:pPr>
        <w:numPr>
          <w:ilvl w:val="0"/>
          <w:numId w:val="3"/>
        </w:numPr>
        <w:tabs>
          <w:tab w:val="clear" w:pos="360"/>
        </w:tabs>
        <w:ind w:left="567" w:hanging="567"/>
        <w:jc w:val="both"/>
        <w:rPr>
          <w:rFonts w:ascii="Tahoma" w:hAnsi="Tahoma" w:cs="Tahoma"/>
          <w:sz w:val="22"/>
          <w:szCs w:val="22"/>
        </w:rPr>
      </w:pPr>
      <w:r w:rsidRPr="00FD7CEB">
        <w:rPr>
          <w:rFonts w:ascii="Tahoma" w:hAnsi="Tahoma" w:cs="Tahoma"/>
          <w:sz w:val="22"/>
          <w:szCs w:val="22"/>
        </w:rPr>
        <w:t xml:space="preserve">Asimismo, el literal c) del artículo 41 de la Ley ha dispuesto que en </w:t>
      </w:r>
      <w:r w:rsidRPr="00FD7CEB">
        <w:rPr>
          <w:rFonts w:ascii="Tahoma" w:hAnsi="Tahoma" w:cs="Tahoma"/>
          <w:i/>
          <w:sz w:val="22"/>
          <w:szCs w:val="22"/>
        </w:rPr>
        <w:t xml:space="preserve">caso de incumplimiento por parte del contratista de alguna de sus obligaciones, que haya sido </w:t>
      </w:r>
      <w:r w:rsidRPr="00FD7CEB">
        <w:rPr>
          <w:rFonts w:ascii="Tahoma" w:hAnsi="Tahoma" w:cs="Tahoma"/>
          <w:sz w:val="22"/>
          <w:szCs w:val="22"/>
        </w:rPr>
        <w:t>previamente observada por la Entidad, y no haya sido materia de subsanación, esta última podrá resolver el contrato; en forma total o parcial, mediante la remisión por la vía notarial del documento en el que se manifieste esta decisión y el motivo que la justifica. Dicho documento será aprobado por autoridad del mismo nivel jerárquico de aquella que haya suscrito el contrato. El contrato queda resuelto de pleno derecho a partir de la recepción de dicha comunicación por el contratista.</w:t>
      </w:r>
    </w:p>
    <w:p w:rsidR="007227D3" w:rsidRPr="00FD7CEB" w:rsidRDefault="007227D3" w:rsidP="007227D3">
      <w:pPr>
        <w:pStyle w:val="Prrafodelista"/>
        <w:jc w:val="both"/>
        <w:rPr>
          <w:rFonts w:ascii="Tahoma" w:hAnsi="Tahoma" w:cs="Tahoma"/>
          <w:sz w:val="22"/>
          <w:szCs w:val="22"/>
        </w:rPr>
      </w:pPr>
    </w:p>
    <w:p w:rsidR="007227D3" w:rsidRDefault="007227D3" w:rsidP="007227D3">
      <w:pPr>
        <w:numPr>
          <w:ilvl w:val="0"/>
          <w:numId w:val="3"/>
        </w:numPr>
        <w:tabs>
          <w:tab w:val="clear" w:pos="360"/>
        </w:tabs>
        <w:ind w:left="567" w:hanging="567"/>
        <w:jc w:val="both"/>
        <w:rPr>
          <w:rFonts w:ascii="Tahoma" w:hAnsi="Tahoma" w:cs="Tahoma"/>
          <w:sz w:val="22"/>
          <w:szCs w:val="22"/>
        </w:rPr>
      </w:pPr>
      <w:r w:rsidRPr="00FD7CEB">
        <w:rPr>
          <w:rFonts w:ascii="Tahoma" w:hAnsi="Tahoma" w:cs="Tahoma"/>
          <w:sz w:val="22"/>
          <w:szCs w:val="22"/>
        </w:rPr>
        <w:t>Del examen de la documentación obrante en autos, se advier</w:t>
      </w:r>
      <w:r>
        <w:rPr>
          <w:rFonts w:ascii="Tahoma" w:hAnsi="Tahoma" w:cs="Tahoma"/>
          <w:sz w:val="22"/>
          <w:szCs w:val="22"/>
        </w:rPr>
        <w:t>te que a fojas Nº 004</w:t>
      </w:r>
      <w:r w:rsidRPr="00FD7CEB">
        <w:rPr>
          <w:rFonts w:ascii="Tahoma" w:hAnsi="Tahoma" w:cs="Tahoma"/>
          <w:sz w:val="22"/>
          <w:szCs w:val="22"/>
        </w:rPr>
        <w:t xml:space="preserve"> del expediente, obr</w:t>
      </w:r>
      <w:r>
        <w:rPr>
          <w:rFonts w:ascii="Tahoma" w:hAnsi="Tahoma" w:cs="Tahoma"/>
          <w:sz w:val="22"/>
          <w:szCs w:val="22"/>
        </w:rPr>
        <w:t>a</w:t>
      </w:r>
      <w:r w:rsidRPr="00FD7CEB">
        <w:rPr>
          <w:rFonts w:ascii="Tahoma" w:hAnsi="Tahoma" w:cs="Tahoma"/>
          <w:sz w:val="22"/>
          <w:szCs w:val="22"/>
        </w:rPr>
        <w:t xml:space="preserve"> la </w:t>
      </w:r>
      <w:r>
        <w:rPr>
          <w:rFonts w:ascii="Tahoma" w:hAnsi="Tahoma" w:cs="Tahoma"/>
          <w:sz w:val="22"/>
          <w:szCs w:val="22"/>
        </w:rPr>
        <w:t>Carta Nº 1118-GER-INCOR-ESSALUD-2008 diligenciada notarialmente 17 de octubre del 2008</w:t>
      </w:r>
      <w:r w:rsidRPr="00FD7CEB">
        <w:rPr>
          <w:rFonts w:ascii="Tahoma" w:hAnsi="Tahoma" w:cs="Tahoma"/>
          <w:sz w:val="22"/>
          <w:szCs w:val="22"/>
        </w:rPr>
        <w:t xml:space="preserve">, </w:t>
      </w:r>
      <w:r>
        <w:rPr>
          <w:rFonts w:ascii="Tahoma" w:hAnsi="Tahoma" w:cs="Tahoma"/>
          <w:sz w:val="22"/>
          <w:szCs w:val="22"/>
        </w:rPr>
        <w:t>mediante la cual</w:t>
      </w:r>
      <w:r w:rsidRPr="00FD7CEB">
        <w:rPr>
          <w:rFonts w:ascii="Tahoma" w:hAnsi="Tahoma" w:cs="Tahoma"/>
          <w:sz w:val="22"/>
          <w:szCs w:val="22"/>
        </w:rPr>
        <w:t xml:space="preserve"> </w:t>
      </w:r>
      <w:r>
        <w:rPr>
          <w:rFonts w:ascii="Tahoma" w:hAnsi="Tahoma" w:cs="Tahoma"/>
          <w:sz w:val="22"/>
          <w:szCs w:val="22"/>
        </w:rPr>
        <w:t xml:space="preserve">por última vez </w:t>
      </w:r>
      <w:r w:rsidRPr="00FD7CEB">
        <w:rPr>
          <w:rFonts w:ascii="Tahoma" w:hAnsi="Tahoma" w:cs="Tahoma"/>
          <w:sz w:val="22"/>
          <w:szCs w:val="22"/>
        </w:rPr>
        <w:t>se le otorgó a</w:t>
      </w:r>
      <w:r>
        <w:rPr>
          <w:rFonts w:ascii="Tahoma" w:hAnsi="Tahoma" w:cs="Tahoma"/>
          <w:sz w:val="22"/>
          <w:szCs w:val="22"/>
        </w:rPr>
        <w:t xml:space="preserve"> </w:t>
      </w:r>
      <w:r w:rsidRPr="00FD7CEB">
        <w:rPr>
          <w:rFonts w:ascii="Tahoma" w:hAnsi="Tahoma" w:cs="Tahoma"/>
          <w:sz w:val="22"/>
          <w:szCs w:val="22"/>
        </w:rPr>
        <w:t>l</w:t>
      </w:r>
      <w:r>
        <w:rPr>
          <w:rFonts w:ascii="Tahoma" w:hAnsi="Tahoma" w:cs="Tahoma"/>
          <w:sz w:val="22"/>
          <w:szCs w:val="22"/>
        </w:rPr>
        <w:t>a Contratista, un plazo de dos días hábiles, a fin que cumpla con sus obligaciones contractuales de conformidad con las condiciones y características establecidas en el proceso de selección y su propuesta presentada, bajo apercibimiento de resolver la Orden de Compra Nº 4500947079.</w:t>
      </w:r>
    </w:p>
    <w:p w:rsidR="007227D3" w:rsidRDefault="007227D3" w:rsidP="007227D3">
      <w:pPr>
        <w:pStyle w:val="Prrafodelista"/>
        <w:rPr>
          <w:rFonts w:ascii="Tahoma" w:hAnsi="Tahoma" w:cs="Tahoma"/>
          <w:sz w:val="22"/>
          <w:szCs w:val="22"/>
        </w:rPr>
      </w:pPr>
    </w:p>
    <w:p w:rsidR="007227D3" w:rsidRDefault="007227D3" w:rsidP="007227D3">
      <w:pPr>
        <w:numPr>
          <w:ilvl w:val="0"/>
          <w:numId w:val="3"/>
        </w:numPr>
        <w:tabs>
          <w:tab w:val="clear" w:pos="360"/>
        </w:tabs>
        <w:ind w:left="567" w:hanging="567"/>
        <w:jc w:val="both"/>
        <w:rPr>
          <w:rFonts w:ascii="Tahoma" w:hAnsi="Tahoma" w:cs="Tahoma"/>
          <w:sz w:val="22"/>
          <w:szCs w:val="22"/>
        </w:rPr>
      </w:pPr>
      <w:r w:rsidRPr="000C05DB">
        <w:rPr>
          <w:rFonts w:ascii="Tahoma" w:hAnsi="Tahoma" w:cs="Tahoma"/>
          <w:sz w:val="22"/>
          <w:szCs w:val="22"/>
        </w:rPr>
        <w:t xml:space="preserve">Asimismo, obra a fojas 013 al 015 del presente expediente, la Resolución de Gerencia Nº 158-GER-INCOR-ESSALUD-2008, </w:t>
      </w:r>
      <w:r>
        <w:rPr>
          <w:rFonts w:ascii="Tahoma" w:hAnsi="Tahoma" w:cs="Tahoma"/>
          <w:sz w:val="22"/>
          <w:szCs w:val="22"/>
        </w:rPr>
        <w:t xml:space="preserve">mediante la cual se resolvió </w:t>
      </w:r>
      <w:r w:rsidRPr="000C05DB">
        <w:rPr>
          <w:rFonts w:ascii="Tahoma" w:hAnsi="Tahoma" w:cs="Tahoma"/>
          <w:sz w:val="22"/>
          <w:szCs w:val="22"/>
        </w:rPr>
        <w:t>la Orden de Compra Nº 4500947079</w:t>
      </w:r>
      <w:r>
        <w:rPr>
          <w:rFonts w:ascii="Tahoma" w:hAnsi="Tahoma" w:cs="Tahoma"/>
          <w:sz w:val="22"/>
          <w:szCs w:val="22"/>
        </w:rPr>
        <w:t>; s</w:t>
      </w:r>
      <w:r w:rsidRPr="000C05DB">
        <w:rPr>
          <w:rFonts w:ascii="Tahoma" w:hAnsi="Tahoma" w:cs="Tahoma"/>
          <w:sz w:val="22"/>
          <w:szCs w:val="22"/>
        </w:rPr>
        <w:t xml:space="preserve">in embargo, </w:t>
      </w:r>
      <w:r>
        <w:rPr>
          <w:rFonts w:ascii="Tahoma" w:hAnsi="Tahoma" w:cs="Tahoma"/>
          <w:sz w:val="22"/>
          <w:szCs w:val="22"/>
        </w:rPr>
        <w:t xml:space="preserve">de la revisión de la documentación obrante en autos, no se advierte que dicho documento haya sido notificada </w:t>
      </w:r>
      <w:r w:rsidRPr="000C05DB">
        <w:rPr>
          <w:rFonts w:ascii="Tahoma" w:hAnsi="Tahoma" w:cs="Tahoma"/>
          <w:sz w:val="22"/>
          <w:szCs w:val="22"/>
        </w:rPr>
        <w:t xml:space="preserve">vía trámite notarial. </w:t>
      </w:r>
    </w:p>
    <w:p w:rsidR="007227D3" w:rsidRDefault="007227D3" w:rsidP="007227D3">
      <w:pPr>
        <w:numPr>
          <w:ilvl w:val="0"/>
          <w:numId w:val="3"/>
        </w:numPr>
        <w:tabs>
          <w:tab w:val="clear" w:pos="360"/>
        </w:tabs>
        <w:ind w:left="567" w:hanging="567"/>
        <w:jc w:val="both"/>
        <w:rPr>
          <w:rFonts w:ascii="Tahoma" w:hAnsi="Tahoma" w:cs="Tahoma"/>
          <w:sz w:val="22"/>
          <w:szCs w:val="22"/>
        </w:rPr>
      </w:pPr>
      <w:r w:rsidRPr="003D1C5D">
        <w:rPr>
          <w:rFonts w:ascii="Tahoma" w:hAnsi="Tahoma" w:cs="Tahoma"/>
          <w:sz w:val="22"/>
          <w:szCs w:val="22"/>
          <w:lang w:eastAsia="es-PE"/>
        </w:rPr>
        <w:lastRenderedPageBreak/>
        <w:t xml:space="preserve">En efecto, tal como lo señaló la Entidad en la </w:t>
      </w:r>
      <w:r w:rsidRPr="003D1C5D">
        <w:rPr>
          <w:rFonts w:ascii="Tahoma" w:hAnsi="Tahoma" w:cs="Tahoma"/>
          <w:sz w:val="22"/>
          <w:szCs w:val="22"/>
        </w:rPr>
        <w:t>Carta Nº 004-GER-INCOR-2009 presentada el 06 de enero del 2009</w:t>
      </w:r>
      <w:r w:rsidRPr="003D1C5D">
        <w:rPr>
          <w:rFonts w:ascii="Tahoma" w:hAnsi="Tahoma" w:cs="Tahoma"/>
          <w:sz w:val="22"/>
          <w:szCs w:val="22"/>
          <w:lang w:eastAsia="es-PE"/>
        </w:rPr>
        <w:t xml:space="preserve">, al reverso de la primera página de </w:t>
      </w:r>
      <w:r w:rsidRPr="003D1C5D">
        <w:rPr>
          <w:rFonts w:ascii="Tahoma" w:hAnsi="Tahoma" w:cs="Tahoma"/>
          <w:sz w:val="22"/>
          <w:szCs w:val="22"/>
        </w:rPr>
        <w:t>la Resolución de Gerencia Nº 158-GER-INCOR-ESSALUD-2008</w:t>
      </w:r>
      <w:r w:rsidRPr="003D1C5D">
        <w:rPr>
          <w:rFonts w:ascii="Tahoma" w:hAnsi="Tahoma" w:cs="Tahoma"/>
          <w:sz w:val="22"/>
          <w:szCs w:val="22"/>
          <w:lang w:eastAsia="es-PE"/>
        </w:rPr>
        <w:t>, la misma que obra a fojas 013 del presente expediente, se puede apreciar que fue recibida el 17 de noviembre del 2008 por el Sr. Gary Quiñones F. con DNI Nº 41716664, no obstante ello, dicha notificación no se realizó vía notarial, por lo cual, no se advierte la dirección a la cual ha sido dirigida dicha resolución ni la circunstancias de su notificación.</w:t>
      </w:r>
      <w:r w:rsidRPr="003D1C5D">
        <w:rPr>
          <w:rFonts w:ascii="Tahoma" w:hAnsi="Tahoma" w:cs="Tahoma"/>
          <w:sz w:val="22"/>
          <w:szCs w:val="22"/>
        </w:rPr>
        <w:t xml:space="preserve"> </w:t>
      </w:r>
    </w:p>
    <w:p w:rsidR="007227D3" w:rsidRPr="003D1C5D" w:rsidRDefault="007227D3" w:rsidP="007227D3">
      <w:pPr>
        <w:jc w:val="both"/>
        <w:rPr>
          <w:rFonts w:ascii="Tahoma" w:hAnsi="Tahoma" w:cs="Tahoma"/>
          <w:sz w:val="22"/>
          <w:szCs w:val="22"/>
        </w:rPr>
      </w:pPr>
    </w:p>
    <w:p w:rsidR="007227D3" w:rsidRPr="00FD7CEB" w:rsidRDefault="007227D3" w:rsidP="007227D3">
      <w:pPr>
        <w:numPr>
          <w:ilvl w:val="0"/>
          <w:numId w:val="3"/>
        </w:numPr>
        <w:tabs>
          <w:tab w:val="clear" w:pos="360"/>
        </w:tabs>
        <w:ind w:left="567" w:hanging="567"/>
        <w:jc w:val="both"/>
        <w:rPr>
          <w:rFonts w:ascii="Tahoma" w:hAnsi="Tahoma" w:cs="Tahoma"/>
          <w:sz w:val="22"/>
          <w:szCs w:val="22"/>
        </w:rPr>
      </w:pPr>
      <w:r w:rsidRPr="00FD7CEB">
        <w:rPr>
          <w:rFonts w:ascii="Tahoma" w:hAnsi="Tahoma" w:cs="Tahoma"/>
          <w:sz w:val="22"/>
          <w:szCs w:val="22"/>
        </w:rPr>
        <w:t>Atendiendo a lo expuesto en el párrafo precedente, se verifica que la Entidad no observó el procedimiento específicamente previsto en el Reglamento para dotar de total eficacia a la aludida resolución contractual, pues como se ha señalado,</w:t>
      </w:r>
      <w:r>
        <w:rPr>
          <w:rFonts w:ascii="Tahoma" w:hAnsi="Tahoma" w:cs="Tahoma"/>
          <w:sz w:val="22"/>
          <w:szCs w:val="22"/>
        </w:rPr>
        <w:t xml:space="preserve"> la </w:t>
      </w:r>
      <w:r w:rsidRPr="000C05DB">
        <w:rPr>
          <w:rFonts w:ascii="Tahoma" w:hAnsi="Tahoma" w:cs="Tahoma"/>
          <w:sz w:val="22"/>
          <w:szCs w:val="22"/>
        </w:rPr>
        <w:t>Resolución de Gerencia Nº 158-GER-INCOR-ESSALUD-2008</w:t>
      </w:r>
      <w:r>
        <w:rPr>
          <w:rFonts w:ascii="Tahoma" w:hAnsi="Tahoma" w:cs="Tahoma"/>
          <w:sz w:val="22"/>
          <w:szCs w:val="22"/>
        </w:rPr>
        <w:t>, no ha sido notificada vía trámite notarial.</w:t>
      </w:r>
    </w:p>
    <w:p w:rsidR="007227D3" w:rsidRPr="00FD7CEB" w:rsidRDefault="007227D3" w:rsidP="007227D3">
      <w:pPr>
        <w:pStyle w:val="Prrafodelista"/>
        <w:jc w:val="both"/>
        <w:rPr>
          <w:rFonts w:ascii="Tahoma" w:hAnsi="Tahoma" w:cs="Tahoma"/>
          <w:sz w:val="22"/>
          <w:szCs w:val="22"/>
        </w:rPr>
      </w:pPr>
    </w:p>
    <w:p w:rsidR="007227D3" w:rsidRPr="00FD7CEB" w:rsidRDefault="007227D3" w:rsidP="007227D3">
      <w:pPr>
        <w:numPr>
          <w:ilvl w:val="0"/>
          <w:numId w:val="3"/>
        </w:numPr>
        <w:tabs>
          <w:tab w:val="clear" w:pos="360"/>
        </w:tabs>
        <w:ind w:left="567" w:hanging="567"/>
        <w:jc w:val="both"/>
        <w:rPr>
          <w:rFonts w:ascii="Tahoma" w:hAnsi="Tahoma" w:cs="Tahoma"/>
          <w:sz w:val="22"/>
          <w:szCs w:val="22"/>
        </w:rPr>
      </w:pPr>
      <w:r w:rsidRPr="00FD7CEB">
        <w:rPr>
          <w:rFonts w:ascii="Tahoma" w:hAnsi="Tahoma" w:cs="Tahoma"/>
          <w:sz w:val="22"/>
          <w:szCs w:val="22"/>
        </w:rPr>
        <w:t>Consecuentemente, al no haber respetado la Entidad el procedimiento previsto en el artículo 226 del Reglamento, este Tribunal considera que no se ha configurado el presupuesto necesario para la infracción prevista en el inciso 2) del artículo 294 del Reglamento y, por su efecto, no corresponde atribuir responsabil</w:t>
      </w:r>
      <w:r>
        <w:rPr>
          <w:rFonts w:ascii="Tahoma" w:hAnsi="Tahoma" w:cs="Tahoma"/>
          <w:sz w:val="22"/>
          <w:szCs w:val="22"/>
        </w:rPr>
        <w:t>idad administrativa a la Contratista</w:t>
      </w:r>
      <w:r w:rsidRPr="00FD7CEB">
        <w:rPr>
          <w:rFonts w:ascii="Tahoma" w:hAnsi="Tahoma" w:cs="Tahoma"/>
          <w:sz w:val="22"/>
          <w:szCs w:val="22"/>
        </w:rPr>
        <w:t xml:space="preserve"> en este caso</w:t>
      </w:r>
    </w:p>
    <w:p w:rsidR="007227D3" w:rsidRPr="00FD7CEB" w:rsidRDefault="007227D3" w:rsidP="007227D3">
      <w:pPr>
        <w:pStyle w:val="Prrafodelista"/>
        <w:rPr>
          <w:rFonts w:ascii="Tahoma" w:hAnsi="Tahoma" w:cs="Tahoma"/>
          <w:sz w:val="22"/>
          <w:szCs w:val="22"/>
        </w:rPr>
      </w:pPr>
    </w:p>
    <w:p w:rsidR="007227D3" w:rsidRDefault="007227D3" w:rsidP="007227D3">
      <w:pPr>
        <w:numPr>
          <w:ilvl w:val="0"/>
          <w:numId w:val="3"/>
        </w:numPr>
        <w:tabs>
          <w:tab w:val="clear" w:pos="360"/>
        </w:tabs>
        <w:ind w:left="567" w:hanging="567"/>
        <w:jc w:val="both"/>
        <w:rPr>
          <w:rFonts w:ascii="Tahoma" w:hAnsi="Tahoma" w:cs="Tahoma"/>
          <w:sz w:val="22"/>
          <w:szCs w:val="22"/>
        </w:rPr>
      </w:pPr>
      <w:r w:rsidRPr="003A4D86">
        <w:rPr>
          <w:rFonts w:ascii="Tahoma" w:hAnsi="Tahoma" w:cs="Tahoma"/>
          <w:sz w:val="22"/>
          <w:szCs w:val="22"/>
        </w:rPr>
        <w:t xml:space="preserve">Por lo expuesto, y en estricta observancia del </w:t>
      </w:r>
      <w:r w:rsidRPr="003A4D86">
        <w:rPr>
          <w:rFonts w:ascii="Tahoma" w:hAnsi="Tahoma" w:cs="Tahoma"/>
          <w:i/>
          <w:sz w:val="22"/>
          <w:szCs w:val="22"/>
        </w:rPr>
        <w:t>Principio de Tipicidad</w:t>
      </w:r>
      <w:r w:rsidRPr="003A4D86">
        <w:rPr>
          <w:rFonts w:ascii="Tahoma" w:hAnsi="Tahoma" w:cs="Tahoma"/>
          <w:sz w:val="22"/>
          <w:szCs w:val="22"/>
        </w:rPr>
        <w:t xml:space="preserve"> previsto en el inciso 4 del artículo 230 de la Ley № 27444, del Procedimiento Administrativo General, en cuya virtud sólo constituyen conductas sancionables administrativamente las infracciones previstas expresamente en normas con rango de ley o reglamento mediante su tipificación como tales, sin admitir interpretación extensiva o analógica, este Tribunal concluye que los hechos denunciados no configuran la infracción administrativa imputada, y en consecuencia, no cabe aplicar sanción alguna a la Contratista</w:t>
      </w:r>
      <w:r>
        <w:rPr>
          <w:rFonts w:ascii="Tahoma" w:hAnsi="Tahoma" w:cs="Tahoma"/>
          <w:sz w:val="22"/>
          <w:szCs w:val="22"/>
        </w:rPr>
        <w:t>.</w:t>
      </w:r>
    </w:p>
    <w:p w:rsidR="007227D3" w:rsidRDefault="007227D3" w:rsidP="007227D3">
      <w:pPr>
        <w:pStyle w:val="Prrafodelista"/>
        <w:rPr>
          <w:rFonts w:ascii="Tahoma" w:hAnsi="Tahoma" w:cs="Tahoma"/>
          <w:sz w:val="22"/>
          <w:szCs w:val="22"/>
        </w:rPr>
      </w:pPr>
    </w:p>
    <w:p w:rsidR="007227D3" w:rsidRDefault="007227D3" w:rsidP="007227D3">
      <w:pPr>
        <w:numPr>
          <w:ilvl w:val="0"/>
          <w:numId w:val="3"/>
        </w:numPr>
        <w:tabs>
          <w:tab w:val="clear" w:pos="360"/>
        </w:tabs>
        <w:ind w:left="567" w:hanging="567"/>
        <w:jc w:val="both"/>
        <w:rPr>
          <w:rFonts w:ascii="Tahoma" w:hAnsi="Tahoma" w:cs="Tahoma"/>
          <w:sz w:val="22"/>
          <w:szCs w:val="22"/>
        </w:rPr>
      </w:pPr>
      <w:r w:rsidRPr="007227D3">
        <w:rPr>
          <w:rFonts w:ascii="Tahoma" w:hAnsi="Tahoma" w:cs="Tahoma"/>
          <w:sz w:val="22"/>
          <w:szCs w:val="22"/>
        </w:rPr>
        <w:t>Sin perjuicio de lo anterior, y considerando que la Entidad no cumplió el procedimiento previsto en el artículo 226 del Reglamento, deberá comunicarse de esta situación a la Oficina de Control Institucional de la Entidad o la dependencia administrativa que haga sus veces; para su conocimiento y fines pertinentes.</w:t>
      </w:r>
    </w:p>
    <w:p w:rsidR="007227D3" w:rsidRPr="007227D3" w:rsidRDefault="007227D3" w:rsidP="007227D3">
      <w:pPr>
        <w:jc w:val="both"/>
        <w:rPr>
          <w:rFonts w:ascii="Tahoma" w:hAnsi="Tahoma" w:cs="Tahoma"/>
          <w:sz w:val="22"/>
          <w:szCs w:val="22"/>
        </w:rPr>
      </w:pPr>
    </w:p>
    <w:p w:rsidR="007227D3" w:rsidRPr="00A12720" w:rsidRDefault="007227D3" w:rsidP="007227D3">
      <w:pPr>
        <w:tabs>
          <w:tab w:val="left" w:pos="3544"/>
          <w:tab w:val="left" w:pos="7230"/>
        </w:tabs>
        <w:ind w:right="-1" w:firstLine="567"/>
        <w:jc w:val="both"/>
        <w:rPr>
          <w:rFonts w:ascii="Tahoma" w:eastAsiaTheme="minorHAnsi" w:hAnsi="Tahoma" w:cs="Tahoma"/>
          <w:color w:val="000000"/>
          <w:sz w:val="23"/>
          <w:szCs w:val="23"/>
        </w:rPr>
      </w:pPr>
      <w:r w:rsidRPr="00A12720">
        <w:rPr>
          <w:rFonts w:ascii="Tahoma" w:hAnsi="Tahoma" w:cs="Tahoma"/>
          <w:sz w:val="23"/>
          <w:szCs w:val="23"/>
        </w:rPr>
        <w:t xml:space="preserve">Por estos fundamentos, </w:t>
      </w:r>
      <w:r w:rsidRPr="00A12720">
        <w:rPr>
          <w:rFonts w:ascii="Tahoma" w:hAnsi="Tahoma" w:cs="Tahoma"/>
          <w:color w:val="000000"/>
          <w:sz w:val="23"/>
          <w:szCs w:val="23"/>
        </w:rPr>
        <w:t>de conformidad con el inf</w:t>
      </w:r>
      <w:r w:rsidRPr="00A12720">
        <w:rPr>
          <w:rFonts w:ascii="Tahoma" w:eastAsia="Calibri" w:hAnsi="Tahoma" w:cs="Tahoma"/>
          <w:color w:val="000000"/>
          <w:sz w:val="23"/>
          <w:szCs w:val="23"/>
        </w:rPr>
        <w:t xml:space="preserve">orme de la Vocal Ponente Dra. Ada Rosa Basulto Liewald y la intervención de los Señores Vocales </w:t>
      </w:r>
      <w:r w:rsidRPr="00A12720">
        <w:rPr>
          <w:rFonts w:ascii="Tahoma" w:eastAsiaTheme="minorHAnsi" w:hAnsi="Tahoma" w:cs="Tahoma"/>
          <w:color w:val="000000"/>
          <w:sz w:val="23"/>
          <w:szCs w:val="23"/>
        </w:rPr>
        <w:t xml:space="preserve">Dr. Carlos Vicente Navas Rondón y </w:t>
      </w:r>
      <w:r w:rsidRPr="00A12720">
        <w:rPr>
          <w:rFonts w:ascii="Tahoma" w:eastAsia="Calibri" w:hAnsi="Tahoma" w:cs="Tahoma"/>
          <w:color w:val="000000"/>
          <w:sz w:val="23"/>
          <w:szCs w:val="23"/>
        </w:rPr>
        <w:t xml:space="preserve">Dra. Janette Elke Ramírez Maynetto; </w:t>
      </w:r>
      <w:r w:rsidRPr="00A12720">
        <w:rPr>
          <w:rFonts w:ascii="Tahoma" w:eastAsiaTheme="minorHAnsi" w:hAnsi="Tahoma" w:cs="Tahoma"/>
          <w:color w:val="000000"/>
          <w:sz w:val="23"/>
          <w:szCs w:val="23"/>
        </w:rPr>
        <w:t xml:space="preserve">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Estado, aprobada por Decreto Legislativo № 1017, y los artículos 17 y 18 del Reglamento de Organización y Funciones del OSCE, </w:t>
      </w:r>
      <w:r w:rsidRPr="00A12720">
        <w:rPr>
          <w:rFonts w:ascii="Tahoma" w:eastAsiaTheme="minorHAnsi" w:hAnsi="Tahoma" w:cs="Tahoma"/>
          <w:color w:val="000000"/>
          <w:sz w:val="23"/>
          <w:szCs w:val="23"/>
        </w:rPr>
        <w:lastRenderedPageBreak/>
        <w:t>aprobado por Decreto Supremo № 006-2009-EF, analizados los antecedentes y luego de agotado el debate correspondiente, por unanimidad</w:t>
      </w:r>
    </w:p>
    <w:p w:rsidR="007227D3" w:rsidRPr="00A12720" w:rsidRDefault="007227D3" w:rsidP="007227D3">
      <w:pPr>
        <w:ind w:firstLine="426"/>
        <w:jc w:val="both"/>
        <w:rPr>
          <w:rFonts w:ascii="Tahoma" w:hAnsi="Tahoma" w:cs="Tahoma"/>
          <w:sz w:val="23"/>
          <w:szCs w:val="23"/>
        </w:rPr>
      </w:pPr>
    </w:p>
    <w:p w:rsidR="007227D3" w:rsidRPr="00A12720" w:rsidRDefault="007227D3" w:rsidP="007227D3">
      <w:pPr>
        <w:ind w:firstLine="567"/>
        <w:jc w:val="both"/>
        <w:rPr>
          <w:rFonts w:ascii="Tahoma" w:hAnsi="Tahoma" w:cs="Tahoma"/>
          <w:b/>
          <w:sz w:val="23"/>
          <w:szCs w:val="23"/>
        </w:rPr>
      </w:pPr>
      <w:r w:rsidRPr="00A12720">
        <w:rPr>
          <w:rFonts w:ascii="Tahoma" w:hAnsi="Tahoma" w:cs="Tahoma"/>
          <w:b/>
          <w:sz w:val="23"/>
          <w:szCs w:val="23"/>
        </w:rPr>
        <w:t xml:space="preserve">LA SALA RESUELVE: </w:t>
      </w:r>
    </w:p>
    <w:p w:rsidR="007227D3" w:rsidRPr="00A12720" w:rsidRDefault="007227D3" w:rsidP="007227D3">
      <w:pPr>
        <w:jc w:val="both"/>
        <w:rPr>
          <w:rFonts w:ascii="Tahoma" w:hAnsi="Tahoma" w:cs="Tahoma"/>
          <w:snapToGrid w:val="0"/>
          <w:sz w:val="23"/>
          <w:szCs w:val="23"/>
        </w:rPr>
      </w:pPr>
    </w:p>
    <w:p w:rsidR="007227D3" w:rsidRDefault="007227D3" w:rsidP="007227D3">
      <w:pPr>
        <w:pStyle w:val="Sangradetextonormal"/>
        <w:numPr>
          <w:ilvl w:val="0"/>
          <w:numId w:val="7"/>
        </w:numPr>
        <w:tabs>
          <w:tab w:val="left" w:pos="180"/>
        </w:tabs>
        <w:spacing w:after="0"/>
        <w:ind w:left="567" w:hanging="540"/>
        <w:jc w:val="both"/>
        <w:rPr>
          <w:rFonts w:ascii="Tahoma" w:hAnsi="Tahoma" w:cs="Tahoma"/>
          <w:sz w:val="22"/>
          <w:szCs w:val="22"/>
        </w:rPr>
      </w:pPr>
      <w:r w:rsidRPr="00FD7CEB">
        <w:rPr>
          <w:rFonts w:ascii="Tahoma" w:hAnsi="Tahoma" w:cs="Tahoma"/>
          <w:sz w:val="22"/>
          <w:szCs w:val="22"/>
        </w:rPr>
        <w:t xml:space="preserve">Declarar no ha lugar </w:t>
      </w:r>
      <w:r w:rsidRPr="00FD7CEB">
        <w:rPr>
          <w:rFonts w:ascii="Tahoma" w:hAnsi="Tahoma" w:cs="Tahoma"/>
          <w:sz w:val="22"/>
          <w:szCs w:val="22"/>
          <w:lang w:val="es-PE"/>
        </w:rPr>
        <w:t xml:space="preserve">la imposición de sanción en contra </w:t>
      </w:r>
      <w:r>
        <w:rPr>
          <w:rFonts w:ascii="Tahoma" w:hAnsi="Tahoma" w:cs="Tahoma"/>
          <w:sz w:val="22"/>
          <w:szCs w:val="22"/>
          <w:lang w:val="es-PE"/>
        </w:rPr>
        <w:t xml:space="preserve">de </w:t>
      </w:r>
      <w:r w:rsidRPr="00301C82">
        <w:rPr>
          <w:rFonts w:ascii="Tahoma" w:hAnsi="Tahoma" w:cs="Tahoma"/>
          <w:sz w:val="22"/>
          <w:szCs w:val="22"/>
        </w:rPr>
        <w:t>QUIÑONES FARIAS BRENDA LEE</w:t>
      </w:r>
      <w:r w:rsidRPr="00FD7CEB">
        <w:rPr>
          <w:rFonts w:ascii="Tahoma" w:hAnsi="Tahoma" w:cs="Tahoma"/>
          <w:sz w:val="22"/>
          <w:szCs w:val="22"/>
        </w:rPr>
        <w:t>, debiendo archivarse el presente expediente.</w:t>
      </w:r>
    </w:p>
    <w:p w:rsidR="007227D3" w:rsidRDefault="007227D3" w:rsidP="007227D3">
      <w:pPr>
        <w:pStyle w:val="Sangradetextonormal"/>
        <w:tabs>
          <w:tab w:val="left" w:pos="180"/>
        </w:tabs>
        <w:spacing w:after="0"/>
        <w:ind w:left="567"/>
        <w:jc w:val="both"/>
        <w:rPr>
          <w:rFonts w:ascii="Tahoma" w:hAnsi="Tahoma" w:cs="Tahoma"/>
          <w:sz w:val="22"/>
          <w:szCs w:val="22"/>
        </w:rPr>
      </w:pPr>
    </w:p>
    <w:p w:rsidR="007227D3" w:rsidRPr="007227D3" w:rsidRDefault="007227D3" w:rsidP="007227D3">
      <w:pPr>
        <w:pStyle w:val="Sangradetextonormal"/>
        <w:numPr>
          <w:ilvl w:val="0"/>
          <w:numId w:val="7"/>
        </w:numPr>
        <w:tabs>
          <w:tab w:val="left" w:pos="180"/>
        </w:tabs>
        <w:spacing w:after="0"/>
        <w:ind w:left="567" w:hanging="540"/>
        <w:jc w:val="both"/>
        <w:rPr>
          <w:rFonts w:ascii="Tahoma" w:hAnsi="Tahoma" w:cs="Tahoma"/>
          <w:sz w:val="22"/>
          <w:szCs w:val="22"/>
        </w:rPr>
      </w:pPr>
      <w:r w:rsidRPr="007227D3">
        <w:rPr>
          <w:rFonts w:ascii="Tahoma" w:hAnsi="Tahoma" w:cs="Tahoma"/>
          <w:sz w:val="22"/>
          <w:szCs w:val="22"/>
        </w:rPr>
        <w:t>Poner en conocimiento del Órgano de Control Institucional de la Entidad la presente Resolución, para su conocimiento y fines pertinentes</w:t>
      </w:r>
    </w:p>
    <w:p w:rsidR="007227D3" w:rsidRPr="00A12720" w:rsidRDefault="007227D3" w:rsidP="007227D3">
      <w:pPr>
        <w:tabs>
          <w:tab w:val="left" w:pos="180"/>
          <w:tab w:val="left" w:pos="540"/>
        </w:tabs>
        <w:ind w:left="540"/>
        <w:jc w:val="both"/>
        <w:rPr>
          <w:rFonts w:ascii="Tahoma" w:hAnsi="Tahoma" w:cs="Tahoma"/>
          <w:sz w:val="23"/>
          <w:szCs w:val="23"/>
        </w:rPr>
      </w:pPr>
    </w:p>
    <w:p w:rsidR="007227D3" w:rsidRPr="00A12720" w:rsidRDefault="007227D3" w:rsidP="007227D3">
      <w:pPr>
        <w:jc w:val="both"/>
        <w:rPr>
          <w:rFonts w:ascii="Tahoma" w:hAnsi="Tahoma" w:cs="Tahoma"/>
          <w:sz w:val="23"/>
          <w:szCs w:val="23"/>
        </w:rPr>
      </w:pPr>
    </w:p>
    <w:p w:rsidR="007227D3" w:rsidRPr="00A12720" w:rsidRDefault="007227D3" w:rsidP="007227D3">
      <w:pPr>
        <w:pStyle w:val="Textoindependiente21"/>
        <w:ind w:firstLine="567"/>
        <w:rPr>
          <w:rFonts w:cs="Tahoma"/>
          <w:sz w:val="23"/>
          <w:szCs w:val="23"/>
        </w:rPr>
      </w:pPr>
      <w:r w:rsidRPr="00A12720">
        <w:rPr>
          <w:rFonts w:cs="Tahoma"/>
          <w:sz w:val="23"/>
          <w:szCs w:val="23"/>
        </w:rPr>
        <w:t>Regístrese, comuníquese y publíquese.</w:t>
      </w:r>
    </w:p>
    <w:p w:rsidR="007227D3" w:rsidRPr="00A12720" w:rsidRDefault="007227D3" w:rsidP="007227D3">
      <w:pPr>
        <w:jc w:val="center"/>
        <w:rPr>
          <w:rFonts w:ascii="Tahoma" w:hAnsi="Tahoma" w:cs="Tahoma"/>
          <w:b/>
          <w:sz w:val="23"/>
          <w:szCs w:val="23"/>
        </w:rPr>
      </w:pPr>
    </w:p>
    <w:p w:rsidR="007227D3" w:rsidRDefault="007227D3" w:rsidP="007227D3">
      <w:pPr>
        <w:jc w:val="center"/>
        <w:rPr>
          <w:rFonts w:ascii="Tahoma" w:hAnsi="Tahoma" w:cs="Tahoma"/>
          <w:b/>
          <w:sz w:val="23"/>
          <w:szCs w:val="23"/>
        </w:rPr>
      </w:pPr>
    </w:p>
    <w:p w:rsidR="007227D3" w:rsidRDefault="007227D3" w:rsidP="007227D3">
      <w:pPr>
        <w:jc w:val="center"/>
        <w:rPr>
          <w:rFonts w:ascii="Tahoma" w:hAnsi="Tahoma" w:cs="Tahoma"/>
          <w:b/>
          <w:sz w:val="23"/>
          <w:szCs w:val="23"/>
        </w:rPr>
      </w:pPr>
    </w:p>
    <w:p w:rsidR="007227D3" w:rsidRDefault="007227D3" w:rsidP="007227D3">
      <w:pPr>
        <w:jc w:val="center"/>
        <w:rPr>
          <w:rFonts w:ascii="Tahoma" w:hAnsi="Tahoma" w:cs="Tahoma"/>
          <w:b/>
          <w:sz w:val="23"/>
          <w:szCs w:val="23"/>
        </w:rPr>
      </w:pPr>
    </w:p>
    <w:p w:rsidR="007227D3" w:rsidRDefault="007227D3" w:rsidP="007227D3">
      <w:pPr>
        <w:jc w:val="center"/>
        <w:rPr>
          <w:rFonts w:ascii="Tahoma" w:hAnsi="Tahoma" w:cs="Tahoma"/>
          <w:b/>
          <w:sz w:val="23"/>
          <w:szCs w:val="23"/>
        </w:rPr>
      </w:pPr>
    </w:p>
    <w:p w:rsidR="007227D3" w:rsidRDefault="007227D3" w:rsidP="007227D3">
      <w:pPr>
        <w:jc w:val="center"/>
        <w:rPr>
          <w:rFonts w:ascii="Tahoma" w:hAnsi="Tahoma" w:cs="Tahoma"/>
          <w:b/>
          <w:sz w:val="23"/>
          <w:szCs w:val="23"/>
        </w:rPr>
      </w:pPr>
    </w:p>
    <w:p w:rsidR="007227D3" w:rsidRDefault="007227D3" w:rsidP="007227D3">
      <w:pPr>
        <w:jc w:val="center"/>
        <w:rPr>
          <w:rFonts w:ascii="Tahoma" w:hAnsi="Tahoma" w:cs="Tahoma"/>
          <w:b/>
          <w:sz w:val="23"/>
          <w:szCs w:val="23"/>
        </w:rPr>
      </w:pPr>
    </w:p>
    <w:p w:rsidR="007227D3" w:rsidRPr="00A12720" w:rsidRDefault="007227D3" w:rsidP="007227D3">
      <w:pPr>
        <w:jc w:val="center"/>
        <w:rPr>
          <w:rFonts w:ascii="Tahoma" w:hAnsi="Tahoma" w:cs="Tahoma"/>
          <w:b/>
          <w:sz w:val="23"/>
          <w:szCs w:val="23"/>
        </w:rPr>
      </w:pPr>
    </w:p>
    <w:p w:rsidR="007227D3" w:rsidRPr="00A12720" w:rsidRDefault="007227D3" w:rsidP="007227D3">
      <w:pPr>
        <w:jc w:val="center"/>
        <w:rPr>
          <w:rFonts w:ascii="Tahoma" w:hAnsi="Tahoma" w:cs="Tahoma"/>
          <w:b/>
          <w:sz w:val="23"/>
          <w:szCs w:val="23"/>
        </w:rPr>
      </w:pPr>
    </w:p>
    <w:p w:rsidR="007227D3" w:rsidRPr="00A12720" w:rsidRDefault="007227D3" w:rsidP="007227D3">
      <w:pPr>
        <w:jc w:val="center"/>
        <w:rPr>
          <w:rFonts w:ascii="Tahoma" w:hAnsi="Tahoma" w:cs="Tahoma"/>
          <w:b/>
          <w:shadow/>
          <w:sz w:val="23"/>
          <w:szCs w:val="23"/>
          <w:lang w:val="pt-BR"/>
        </w:rPr>
      </w:pPr>
      <w:r w:rsidRPr="00A12720">
        <w:rPr>
          <w:rFonts w:ascii="Tahoma" w:hAnsi="Tahoma" w:cs="Tahoma"/>
          <w:b/>
          <w:shadow/>
          <w:sz w:val="23"/>
          <w:szCs w:val="23"/>
          <w:lang w:val="pt-BR"/>
        </w:rPr>
        <w:t>PRESIDENTE</w:t>
      </w:r>
    </w:p>
    <w:p w:rsidR="007227D3" w:rsidRPr="00A12720" w:rsidRDefault="007227D3" w:rsidP="007227D3">
      <w:pPr>
        <w:ind w:firstLine="708"/>
        <w:rPr>
          <w:rFonts w:ascii="Tahoma" w:hAnsi="Tahoma" w:cs="Tahoma"/>
          <w:b/>
          <w:shadow/>
          <w:sz w:val="23"/>
          <w:szCs w:val="23"/>
          <w:lang w:val="pt-BR"/>
        </w:rPr>
      </w:pPr>
    </w:p>
    <w:p w:rsidR="007227D3" w:rsidRPr="00A12720" w:rsidRDefault="007227D3" w:rsidP="007227D3">
      <w:pPr>
        <w:ind w:firstLine="708"/>
        <w:rPr>
          <w:rFonts w:ascii="Tahoma" w:hAnsi="Tahoma" w:cs="Tahoma"/>
          <w:b/>
          <w:shadow/>
          <w:sz w:val="23"/>
          <w:szCs w:val="23"/>
          <w:lang w:val="pt-BR"/>
        </w:rPr>
      </w:pPr>
      <w:r w:rsidRPr="00A12720">
        <w:rPr>
          <w:rFonts w:ascii="Tahoma" w:hAnsi="Tahoma" w:cs="Tahoma"/>
          <w:b/>
          <w:shadow/>
          <w:sz w:val="23"/>
          <w:szCs w:val="23"/>
          <w:lang w:val="pt-BR"/>
        </w:rPr>
        <w:t xml:space="preserve">VOCAL     </w:t>
      </w:r>
      <w:r>
        <w:rPr>
          <w:rFonts w:ascii="Tahoma" w:hAnsi="Tahoma" w:cs="Tahoma"/>
          <w:b/>
          <w:shadow/>
          <w:sz w:val="23"/>
          <w:szCs w:val="23"/>
          <w:lang w:val="pt-BR"/>
        </w:rPr>
        <w:t xml:space="preserve">      </w:t>
      </w:r>
      <w:r>
        <w:rPr>
          <w:rFonts w:ascii="Tahoma" w:hAnsi="Tahoma" w:cs="Tahoma"/>
          <w:b/>
          <w:shadow/>
          <w:sz w:val="23"/>
          <w:szCs w:val="23"/>
          <w:lang w:val="pt-BR"/>
        </w:rPr>
        <w:tab/>
      </w:r>
      <w:r>
        <w:rPr>
          <w:rFonts w:ascii="Tahoma" w:hAnsi="Tahoma" w:cs="Tahoma"/>
          <w:b/>
          <w:shadow/>
          <w:sz w:val="23"/>
          <w:szCs w:val="23"/>
          <w:lang w:val="pt-BR"/>
        </w:rPr>
        <w:tab/>
        <w:t xml:space="preserve">            </w:t>
      </w:r>
      <w:r w:rsidRPr="00A12720">
        <w:rPr>
          <w:rFonts w:ascii="Tahoma" w:hAnsi="Tahoma" w:cs="Tahoma"/>
          <w:b/>
          <w:shadow/>
          <w:sz w:val="23"/>
          <w:szCs w:val="23"/>
          <w:lang w:val="pt-BR"/>
        </w:rPr>
        <w:t xml:space="preserve">                                         VOCAL</w:t>
      </w:r>
    </w:p>
    <w:p w:rsidR="007227D3" w:rsidRPr="00A12720" w:rsidRDefault="007227D3" w:rsidP="007227D3">
      <w:pPr>
        <w:rPr>
          <w:rFonts w:ascii="Tahoma" w:hAnsi="Tahoma" w:cs="Tahoma"/>
          <w:sz w:val="23"/>
          <w:szCs w:val="23"/>
          <w:lang w:val="pt-BR"/>
        </w:rPr>
      </w:pPr>
    </w:p>
    <w:p w:rsidR="007227D3" w:rsidRPr="00A12720" w:rsidRDefault="007227D3" w:rsidP="007227D3">
      <w:pPr>
        <w:rPr>
          <w:rFonts w:ascii="Tahoma" w:hAnsi="Tahoma" w:cs="Tahoma"/>
          <w:sz w:val="23"/>
          <w:szCs w:val="23"/>
          <w:lang w:val="pt-BR"/>
        </w:rPr>
      </w:pPr>
    </w:p>
    <w:p w:rsidR="007227D3" w:rsidRPr="00A12720" w:rsidRDefault="007227D3" w:rsidP="007227D3">
      <w:pPr>
        <w:jc w:val="both"/>
        <w:rPr>
          <w:rFonts w:ascii="Tahoma" w:hAnsi="Tahoma" w:cs="Tahoma"/>
          <w:sz w:val="23"/>
          <w:szCs w:val="23"/>
          <w:lang w:val="pt-BR"/>
        </w:rPr>
      </w:pPr>
      <w:r w:rsidRPr="00A12720">
        <w:rPr>
          <w:rFonts w:ascii="Tahoma" w:hAnsi="Tahoma" w:cs="Tahoma"/>
          <w:sz w:val="23"/>
          <w:szCs w:val="23"/>
          <w:lang w:val="pt-BR"/>
        </w:rPr>
        <w:t>ss.</w:t>
      </w:r>
    </w:p>
    <w:p w:rsidR="007227D3" w:rsidRPr="00A12720" w:rsidRDefault="007227D3" w:rsidP="007227D3">
      <w:pPr>
        <w:jc w:val="both"/>
        <w:rPr>
          <w:rFonts w:ascii="Tahoma" w:hAnsi="Tahoma" w:cs="Tahoma"/>
          <w:sz w:val="23"/>
          <w:szCs w:val="23"/>
          <w:lang w:val="pt-BR"/>
        </w:rPr>
      </w:pPr>
      <w:r w:rsidRPr="00A12720">
        <w:rPr>
          <w:rFonts w:ascii="Tahoma" w:hAnsi="Tahoma" w:cs="Tahoma"/>
          <w:sz w:val="23"/>
          <w:szCs w:val="23"/>
          <w:lang w:val="pt-BR"/>
        </w:rPr>
        <w:t>Navas Rondon</w:t>
      </w:r>
    </w:p>
    <w:p w:rsidR="007227D3" w:rsidRPr="00A12720" w:rsidRDefault="007227D3" w:rsidP="007227D3">
      <w:pPr>
        <w:pStyle w:val="Textoindependiente21"/>
        <w:tabs>
          <w:tab w:val="left" w:pos="5250"/>
        </w:tabs>
        <w:rPr>
          <w:rFonts w:cs="Tahoma"/>
          <w:sz w:val="23"/>
          <w:szCs w:val="23"/>
          <w:lang w:val="pt-BR"/>
        </w:rPr>
      </w:pPr>
      <w:r w:rsidRPr="00A12720">
        <w:rPr>
          <w:rFonts w:cs="Tahoma"/>
          <w:sz w:val="23"/>
          <w:szCs w:val="23"/>
          <w:lang w:val="en-US"/>
        </w:rPr>
        <w:t>Ramírez Maynetto.</w:t>
      </w:r>
    </w:p>
    <w:p w:rsidR="007227D3" w:rsidRPr="00A12720" w:rsidRDefault="007227D3" w:rsidP="007227D3">
      <w:pPr>
        <w:pStyle w:val="Textoindependiente21"/>
        <w:tabs>
          <w:tab w:val="left" w:pos="5250"/>
        </w:tabs>
        <w:rPr>
          <w:sz w:val="23"/>
          <w:szCs w:val="23"/>
        </w:rPr>
      </w:pPr>
      <w:r w:rsidRPr="00A12720">
        <w:rPr>
          <w:rFonts w:cs="Tahoma"/>
          <w:sz w:val="23"/>
          <w:szCs w:val="23"/>
          <w:lang w:val="pt-BR"/>
        </w:rPr>
        <w:t>Basulto Liewald.</w:t>
      </w:r>
    </w:p>
    <w:p w:rsidR="007227D3" w:rsidRDefault="007227D3" w:rsidP="007227D3"/>
    <w:p w:rsidR="008B738B" w:rsidRDefault="00C32052"/>
    <w:sectPr w:rsidR="008B738B" w:rsidSect="007227D3">
      <w:headerReference w:type="default" r:id="rId7"/>
      <w:footerReference w:type="default" r:id="rId8"/>
      <w:pgSz w:w="11906" w:h="16838"/>
      <w:pgMar w:top="3403"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2052" w:rsidRDefault="00C32052" w:rsidP="007227D3">
      <w:r>
        <w:separator/>
      </w:r>
    </w:p>
  </w:endnote>
  <w:endnote w:type="continuationSeparator" w:id="1">
    <w:p w:rsidR="00C32052" w:rsidRDefault="00C32052" w:rsidP="007227D3">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49237"/>
      <w:docPartObj>
        <w:docPartGallery w:val="Page Numbers (Bottom of Page)"/>
        <w:docPartUnique/>
      </w:docPartObj>
    </w:sdtPr>
    <w:sdtContent>
      <w:sdt>
        <w:sdtPr>
          <w:id w:val="216747541"/>
          <w:docPartObj>
            <w:docPartGallery w:val="Page Numbers (Top of Page)"/>
            <w:docPartUnique/>
          </w:docPartObj>
        </w:sdtPr>
        <w:sdtContent>
          <w:p w:rsidR="00306EEC" w:rsidRDefault="00306EEC">
            <w:pPr>
              <w:pStyle w:val="Piedepgina"/>
              <w:jc w:val="center"/>
            </w:pPr>
            <w:r>
              <w:t xml:space="preserve">Página </w:t>
            </w:r>
            <w:r w:rsidR="00E95289">
              <w:rPr>
                <w:b/>
              </w:rPr>
              <w:fldChar w:fldCharType="begin"/>
            </w:r>
            <w:r>
              <w:rPr>
                <w:b/>
              </w:rPr>
              <w:instrText>PAGE</w:instrText>
            </w:r>
            <w:r w:rsidR="00E95289">
              <w:rPr>
                <w:b/>
              </w:rPr>
              <w:fldChar w:fldCharType="separate"/>
            </w:r>
            <w:r w:rsidR="000F392F">
              <w:rPr>
                <w:b/>
                <w:noProof/>
              </w:rPr>
              <w:t>1</w:t>
            </w:r>
            <w:r w:rsidR="00E95289">
              <w:rPr>
                <w:b/>
              </w:rPr>
              <w:fldChar w:fldCharType="end"/>
            </w:r>
            <w:r>
              <w:t xml:space="preserve"> de </w:t>
            </w:r>
            <w:r w:rsidR="00E95289">
              <w:rPr>
                <w:b/>
              </w:rPr>
              <w:fldChar w:fldCharType="begin"/>
            </w:r>
            <w:r>
              <w:rPr>
                <w:b/>
              </w:rPr>
              <w:instrText>NUMPAGES</w:instrText>
            </w:r>
            <w:r w:rsidR="00E95289">
              <w:rPr>
                <w:b/>
              </w:rPr>
              <w:fldChar w:fldCharType="separate"/>
            </w:r>
            <w:r w:rsidR="000F392F">
              <w:rPr>
                <w:b/>
                <w:noProof/>
              </w:rPr>
              <w:t>5</w:t>
            </w:r>
            <w:r w:rsidR="00E95289">
              <w:rPr>
                <w:b/>
              </w:rPr>
              <w:fldChar w:fldCharType="end"/>
            </w:r>
          </w:p>
        </w:sdtContent>
      </w:sdt>
    </w:sdtContent>
  </w:sdt>
  <w:p w:rsidR="00306EEC" w:rsidRDefault="00306EEC">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2052" w:rsidRDefault="00C32052" w:rsidP="007227D3">
      <w:r>
        <w:separator/>
      </w:r>
    </w:p>
  </w:footnote>
  <w:footnote w:type="continuationSeparator" w:id="1">
    <w:p w:rsidR="00C32052" w:rsidRDefault="00C32052" w:rsidP="007227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392F" w:rsidRDefault="000F392F" w:rsidP="000F392F">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0F392F" w:rsidRDefault="000F392F" w:rsidP="000F392F">
    <w:pPr>
      <w:pStyle w:val="Encabezado"/>
      <w:rPr>
        <w:noProof/>
      </w:rPr>
    </w:pPr>
  </w:p>
  <w:p w:rsidR="000F392F" w:rsidRDefault="000F392F" w:rsidP="000F392F">
    <w:pPr>
      <w:pStyle w:val="Encabezado"/>
      <w:jc w:val="center"/>
      <w:rPr>
        <w:rFonts w:ascii="Monotype Corsiva" w:hAnsi="Monotype Corsiva"/>
        <w:b/>
        <w:sz w:val="44"/>
        <w:szCs w:val="44"/>
      </w:rPr>
    </w:pPr>
  </w:p>
  <w:p w:rsidR="000F392F" w:rsidRDefault="000F392F" w:rsidP="000F392F">
    <w:pPr>
      <w:pStyle w:val="Encabezado"/>
      <w:jc w:val="center"/>
      <w:rPr>
        <w:rFonts w:ascii="Calibri" w:hAnsi="Calibri"/>
        <w:sz w:val="22"/>
        <w:szCs w:val="22"/>
      </w:rPr>
    </w:pPr>
    <w:r>
      <w:rPr>
        <w:rFonts w:ascii="Monotype Corsiva" w:hAnsi="Monotype Corsiva"/>
        <w:b/>
        <w:sz w:val="44"/>
        <w:szCs w:val="44"/>
      </w:rPr>
      <w:t xml:space="preserve">Resolución Nº   </w:t>
    </w:r>
    <w:r>
      <w:rPr>
        <w:rFonts w:ascii="Tahoma" w:hAnsi="Tahoma" w:cs="Tahoma"/>
        <w:b/>
        <w:sz w:val="44"/>
        <w:szCs w:val="44"/>
      </w:rPr>
      <w:t>1317-2011-TC-S1</w:t>
    </w:r>
  </w:p>
  <w:p w:rsidR="000F392F" w:rsidRDefault="000F392F">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204BB"/>
    <w:multiLevelType w:val="hybridMultilevel"/>
    <w:tmpl w:val="9DDC7D40"/>
    <w:lvl w:ilvl="0" w:tplc="78364840">
      <w:start w:val="1"/>
      <w:numFmt w:val="decimal"/>
      <w:lvlText w:val="%1."/>
      <w:lvlJc w:val="left"/>
      <w:pPr>
        <w:ind w:left="720" w:hanging="360"/>
      </w:pPr>
      <w:rPr>
        <w:rFonts w:ascii="Tahoma" w:hAnsi="Tahoma" w:cs="Tahoma" w:hint="default"/>
        <w:b/>
        <w:i w:val="0"/>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186515C0"/>
    <w:multiLevelType w:val="hybridMultilevel"/>
    <w:tmpl w:val="7B96B44E"/>
    <w:lvl w:ilvl="0" w:tplc="A63CDE60">
      <w:start w:val="1"/>
      <w:numFmt w:val="decimal"/>
      <w:lvlText w:val="%1."/>
      <w:lvlJc w:val="left"/>
      <w:pPr>
        <w:tabs>
          <w:tab w:val="num" w:pos="2520"/>
        </w:tabs>
        <w:ind w:left="2520" w:hanging="360"/>
      </w:pPr>
      <w:rPr>
        <w:rFonts w:ascii="Tahoma" w:hAnsi="Tahoma" w:hint="default"/>
        <w:b/>
        <w:i w:val="0"/>
        <w:sz w:val="22"/>
        <w:szCs w:val="22"/>
        <w:lang w:val="es-PE"/>
      </w:rPr>
    </w:lvl>
    <w:lvl w:ilvl="1" w:tplc="0C0A0019" w:tentative="1">
      <w:start w:val="1"/>
      <w:numFmt w:val="lowerLetter"/>
      <w:lvlText w:val="%2."/>
      <w:lvlJc w:val="left"/>
      <w:pPr>
        <w:tabs>
          <w:tab w:val="num" w:pos="2520"/>
        </w:tabs>
        <w:ind w:left="2520" w:hanging="360"/>
      </w:pPr>
    </w:lvl>
    <w:lvl w:ilvl="2" w:tplc="0C0A001B" w:tentative="1">
      <w:start w:val="1"/>
      <w:numFmt w:val="lowerRoman"/>
      <w:lvlText w:val="%3."/>
      <w:lvlJc w:val="right"/>
      <w:pPr>
        <w:tabs>
          <w:tab w:val="num" w:pos="3240"/>
        </w:tabs>
        <w:ind w:left="3240" w:hanging="180"/>
      </w:pPr>
    </w:lvl>
    <w:lvl w:ilvl="3" w:tplc="0C0A000F" w:tentative="1">
      <w:start w:val="1"/>
      <w:numFmt w:val="decimal"/>
      <w:lvlText w:val="%4."/>
      <w:lvlJc w:val="left"/>
      <w:pPr>
        <w:tabs>
          <w:tab w:val="num" w:pos="3960"/>
        </w:tabs>
        <w:ind w:left="3960" w:hanging="360"/>
      </w:pPr>
    </w:lvl>
    <w:lvl w:ilvl="4" w:tplc="0C0A0019" w:tentative="1">
      <w:start w:val="1"/>
      <w:numFmt w:val="lowerLetter"/>
      <w:lvlText w:val="%5."/>
      <w:lvlJc w:val="left"/>
      <w:pPr>
        <w:tabs>
          <w:tab w:val="num" w:pos="4680"/>
        </w:tabs>
        <w:ind w:left="4680" w:hanging="360"/>
      </w:pPr>
    </w:lvl>
    <w:lvl w:ilvl="5" w:tplc="0C0A001B" w:tentative="1">
      <w:start w:val="1"/>
      <w:numFmt w:val="lowerRoman"/>
      <w:lvlText w:val="%6."/>
      <w:lvlJc w:val="right"/>
      <w:pPr>
        <w:tabs>
          <w:tab w:val="num" w:pos="5400"/>
        </w:tabs>
        <w:ind w:left="5400" w:hanging="180"/>
      </w:pPr>
    </w:lvl>
    <w:lvl w:ilvl="6" w:tplc="0C0A000F" w:tentative="1">
      <w:start w:val="1"/>
      <w:numFmt w:val="decimal"/>
      <w:lvlText w:val="%7."/>
      <w:lvlJc w:val="left"/>
      <w:pPr>
        <w:tabs>
          <w:tab w:val="num" w:pos="6120"/>
        </w:tabs>
        <w:ind w:left="6120" w:hanging="360"/>
      </w:pPr>
    </w:lvl>
    <w:lvl w:ilvl="7" w:tplc="0C0A0019" w:tentative="1">
      <w:start w:val="1"/>
      <w:numFmt w:val="lowerLetter"/>
      <w:lvlText w:val="%8."/>
      <w:lvlJc w:val="left"/>
      <w:pPr>
        <w:tabs>
          <w:tab w:val="num" w:pos="6840"/>
        </w:tabs>
        <w:ind w:left="6840" w:hanging="360"/>
      </w:pPr>
    </w:lvl>
    <w:lvl w:ilvl="8" w:tplc="0C0A001B" w:tentative="1">
      <w:start w:val="1"/>
      <w:numFmt w:val="lowerRoman"/>
      <w:lvlText w:val="%9."/>
      <w:lvlJc w:val="right"/>
      <w:pPr>
        <w:tabs>
          <w:tab w:val="num" w:pos="7560"/>
        </w:tabs>
        <w:ind w:left="7560" w:hanging="180"/>
      </w:pPr>
    </w:lvl>
  </w:abstractNum>
  <w:abstractNum w:abstractNumId="2">
    <w:nsid w:val="292E7221"/>
    <w:multiLevelType w:val="hybridMultilevel"/>
    <w:tmpl w:val="F78AF1A2"/>
    <w:lvl w:ilvl="0" w:tplc="57049ED8">
      <w:start w:val="1"/>
      <w:numFmt w:val="decimal"/>
      <w:lvlText w:val="%1."/>
      <w:lvlJc w:val="left"/>
      <w:pPr>
        <w:tabs>
          <w:tab w:val="num" w:pos="360"/>
        </w:tabs>
        <w:ind w:left="360" w:hanging="360"/>
      </w:pPr>
      <w:rPr>
        <w:rFonts w:ascii="Tahoma" w:hAnsi="Tahoma" w:cs="Tahoma" w:hint="default"/>
        <w:b/>
        <w:i w:val="0"/>
      </w:rPr>
    </w:lvl>
    <w:lvl w:ilvl="1" w:tplc="0C0A0019">
      <w:start w:val="1"/>
      <w:numFmt w:val="lowerLetter"/>
      <w:lvlText w:val="%2."/>
      <w:lvlJc w:val="left"/>
      <w:pPr>
        <w:tabs>
          <w:tab w:val="num" w:pos="720"/>
        </w:tabs>
        <w:ind w:left="720" w:hanging="360"/>
      </w:pPr>
    </w:lvl>
    <w:lvl w:ilvl="2" w:tplc="0C0A001B">
      <w:start w:val="1"/>
      <w:numFmt w:val="decimal"/>
      <w:lvlText w:val="%3."/>
      <w:lvlJc w:val="left"/>
      <w:pPr>
        <w:tabs>
          <w:tab w:val="num" w:pos="1800"/>
        </w:tabs>
        <w:ind w:left="1800" w:hanging="360"/>
      </w:pPr>
    </w:lvl>
    <w:lvl w:ilvl="3" w:tplc="0C0A000F">
      <w:start w:val="1"/>
      <w:numFmt w:val="decimal"/>
      <w:lvlText w:val="%4."/>
      <w:lvlJc w:val="left"/>
      <w:pPr>
        <w:tabs>
          <w:tab w:val="num" w:pos="2520"/>
        </w:tabs>
        <w:ind w:left="2520" w:hanging="360"/>
      </w:pPr>
    </w:lvl>
    <w:lvl w:ilvl="4" w:tplc="0C0A0019">
      <w:start w:val="1"/>
      <w:numFmt w:val="decimal"/>
      <w:lvlText w:val="%5."/>
      <w:lvlJc w:val="left"/>
      <w:pPr>
        <w:tabs>
          <w:tab w:val="num" w:pos="3240"/>
        </w:tabs>
        <w:ind w:left="3240" w:hanging="360"/>
      </w:pPr>
    </w:lvl>
    <w:lvl w:ilvl="5" w:tplc="0C0A001B">
      <w:start w:val="1"/>
      <w:numFmt w:val="decimal"/>
      <w:lvlText w:val="%6."/>
      <w:lvlJc w:val="left"/>
      <w:pPr>
        <w:tabs>
          <w:tab w:val="num" w:pos="3960"/>
        </w:tabs>
        <w:ind w:left="3960" w:hanging="360"/>
      </w:pPr>
    </w:lvl>
    <w:lvl w:ilvl="6" w:tplc="0C0A000F">
      <w:start w:val="1"/>
      <w:numFmt w:val="decimal"/>
      <w:lvlText w:val="%7."/>
      <w:lvlJc w:val="left"/>
      <w:pPr>
        <w:tabs>
          <w:tab w:val="num" w:pos="4680"/>
        </w:tabs>
        <w:ind w:left="4680" w:hanging="360"/>
      </w:pPr>
    </w:lvl>
    <w:lvl w:ilvl="7" w:tplc="0C0A0019">
      <w:start w:val="1"/>
      <w:numFmt w:val="decimal"/>
      <w:lvlText w:val="%8."/>
      <w:lvlJc w:val="left"/>
      <w:pPr>
        <w:tabs>
          <w:tab w:val="num" w:pos="5400"/>
        </w:tabs>
        <w:ind w:left="5400" w:hanging="360"/>
      </w:pPr>
    </w:lvl>
    <w:lvl w:ilvl="8" w:tplc="0C0A001B">
      <w:start w:val="1"/>
      <w:numFmt w:val="decimal"/>
      <w:lvlText w:val="%9."/>
      <w:lvlJc w:val="left"/>
      <w:pPr>
        <w:tabs>
          <w:tab w:val="num" w:pos="6120"/>
        </w:tabs>
        <w:ind w:left="6120" w:hanging="360"/>
      </w:pPr>
    </w:lvl>
  </w:abstractNum>
  <w:abstractNum w:abstractNumId="3">
    <w:nsid w:val="32466705"/>
    <w:multiLevelType w:val="multilevel"/>
    <w:tmpl w:val="05D03E78"/>
    <w:lvl w:ilvl="0">
      <w:start w:val="1"/>
      <w:numFmt w:val="decimal"/>
      <w:lvlText w:val="%1."/>
      <w:lvlJc w:val="left"/>
      <w:pPr>
        <w:tabs>
          <w:tab w:val="num" w:pos="720"/>
        </w:tabs>
        <w:ind w:left="720" w:hanging="360"/>
      </w:pPr>
      <w:rPr>
        <w:b/>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BB436EA"/>
    <w:multiLevelType w:val="hybridMultilevel"/>
    <w:tmpl w:val="F8EABD5A"/>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5">
    <w:nsid w:val="72352AB3"/>
    <w:multiLevelType w:val="hybridMultilevel"/>
    <w:tmpl w:val="F23A48F8"/>
    <w:lvl w:ilvl="0" w:tplc="DC3EBDF6">
      <w:start w:val="1"/>
      <w:numFmt w:val="decimal"/>
      <w:lvlText w:val="%1."/>
      <w:lvlJc w:val="left"/>
      <w:pPr>
        <w:tabs>
          <w:tab w:val="num" w:pos="360"/>
        </w:tabs>
        <w:ind w:left="360" w:hanging="360"/>
      </w:pPr>
      <w:rPr>
        <w:rFonts w:ascii="Tahoma" w:hAnsi="Tahoma" w:cs="Tahoma" w:hint="default"/>
        <w:b/>
        <w:sz w:val="22"/>
        <w:szCs w:val="22"/>
      </w:rPr>
    </w:lvl>
    <w:lvl w:ilvl="1" w:tplc="6092304C">
      <w:start w:val="1"/>
      <w:numFmt w:val="lowerRoman"/>
      <w:lvlText w:val="(%2)"/>
      <w:lvlJc w:val="left"/>
      <w:pPr>
        <w:tabs>
          <w:tab w:val="num" w:pos="1260"/>
        </w:tabs>
        <w:ind w:left="1260" w:hanging="720"/>
      </w:pPr>
      <w:rPr>
        <w:rFonts w:ascii="Tahoma" w:hAnsi="Tahoma" w:cs="Tahoma" w:hint="default"/>
        <w:b/>
        <w:sz w:val="20"/>
        <w:szCs w:val="20"/>
      </w:rPr>
    </w:lvl>
    <w:lvl w:ilvl="2" w:tplc="823A8032">
      <w:start w:val="20"/>
      <w:numFmt w:val="bullet"/>
      <w:lvlText w:val="-"/>
      <w:lvlJc w:val="left"/>
      <w:pPr>
        <w:tabs>
          <w:tab w:val="num" w:pos="1620"/>
        </w:tabs>
        <w:ind w:left="1620" w:hanging="180"/>
      </w:pPr>
      <w:rPr>
        <w:rFonts w:ascii="Bookman Old Style" w:eastAsia="Times New Roman" w:hAnsi="Bookman Old Style" w:cs="Times New Roman" w:hint="default"/>
        <w:sz w:val="23"/>
      </w:rPr>
    </w:lvl>
    <w:lvl w:ilvl="3" w:tplc="517683DE">
      <w:start w:val="1"/>
      <w:numFmt w:val="decimal"/>
      <w:lvlText w:val="%4."/>
      <w:lvlJc w:val="left"/>
      <w:pPr>
        <w:tabs>
          <w:tab w:val="num" w:pos="2340"/>
        </w:tabs>
        <w:ind w:left="2340" w:hanging="360"/>
      </w:pPr>
      <w:rPr>
        <w:b/>
      </w:rPr>
    </w:lvl>
    <w:lvl w:ilvl="4" w:tplc="823A8032">
      <w:start w:val="20"/>
      <w:numFmt w:val="bullet"/>
      <w:lvlText w:val="-"/>
      <w:lvlJc w:val="left"/>
      <w:pPr>
        <w:ind w:left="3060" w:hanging="360"/>
      </w:pPr>
      <w:rPr>
        <w:rFonts w:ascii="Bookman Old Style" w:eastAsia="Times New Roman" w:hAnsi="Bookman Old Style" w:cs="Times New Roman" w:hint="default"/>
        <w:sz w:val="23"/>
      </w:rPr>
    </w:lvl>
    <w:lvl w:ilvl="5" w:tplc="0C0A001B">
      <w:start w:val="1"/>
      <w:numFmt w:val="lowerRoman"/>
      <w:lvlText w:val="%6."/>
      <w:lvlJc w:val="right"/>
      <w:pPr>
        <w:tabs>
          <w:tab w:val="num" w:pos="3780"/>
        </w:tabs>
        <w:ind w:left="3780" w:hanging="180"/>
      </w:pPr>
    </w:lvl>
    <w:lvl w:ilvl="6" w:tplc="0C0A000F" w:tentative="1">
      <w:start w:val="1"/>
      <w:numFmt w:val="decimal"/>
      <w:lvlText w:val="%7."/>
      <w:lvlJc w:val="left"/>
      <w:pPr>
        <w:tabs>
          <w:tab w:val="num" w:pos="4500"/>
        </w:tabs>
        <w:ind w:left="4500" w:hanging="360"/>
      </w:pPr>
    </w:lvl>
    <w:lvl w:ilvl="7" w:tplc="0C0A0019" w:tentative="1">
      <w:start w:val="1"/>
      <w:numFmt w:val="lowerLetter"/>
      <w:lvlText w:val="%8."/>
      <w:lvlJc w:val="left"/>
      <w:pPr>
        <w:tabs>
          <w:tab w:val="num" w:pos="5220"/>
        </w:tabs>
        <w:ind w:left="5220" w:hanging="360"/>
      </w:pPr>
    </w:lvl>
    <w:lvl w:ilvl="8" w:tplc="0C0A001B" w:tentative="1">
      <w:start w:val="1"/>
      <w:numFmt w:val="lowerRoman"/>
      <w:lvlText w:val="%9."/>
      <w:lvlJc w:val="right"/>
      <w:pPr>
        <w:tabs>
          <w:tab w:val="num" w:pos="5940"/>
        </w:tabs>
        <w:ind w:left="5940" w:hanging="180"/>
      </w:pPr>
    </w:lvl>
  </w:abstractNum>
  <w:abstractNum w:abstractNumId="6">
    <w:nsid w:val="78F805BE"/>
    <w:multiLevelType w:val="hybridMultilevel"/>
    <w:tmpl w:val="F6F81B0A"/>
    <w:lvl w:ilvl="0" w:tplc="0C0A001B">
      <w:start w:val="1"/>
      <w:numFmt w:val="low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6"/>
  </w:num>
  <w:num w:numId="5">
    <w:abstractNumId w:val="3"/>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7227D3"/>
    <w:rsid w:val="000F392F"/>
    <w:rsid w:val="00253704"/>
    <w:rsid w:val="00306EEC"/>
    <w:rsid w:val="005F0E2E"/>
    <w:rsid w:val="007227D3"/>
    <w:rsid w:val="009042C5"/>
    <w:rsid w:val="00B54AF8"/>
    <w:rsid w:val="00B91FE1"/>
    <w:rsid w:val="00C32052"/>
    <w:rsid w:val="00E95289"/>
    <w:rsid w:val="00F744D8"/>
    <w:rsid w:val="00FF2E9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27D3"/>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7227D3"/>
    <w:pPr>
      <w:spacing w:after="120"/>
    </w:pPr>
    <w:rPr>
      <w:sz w:val="16"/>
      <w:szCs w:val="16"/>
      <w:lang w:val="es-PE"/>
    </w:rPr>
  </w:style>
  <w:style w:type="character" w:customStyle="1" w:styleId="Textoindependiente3Car">
    <w:name w:val="Texto independiente 3 Car"/>
    <w:basedOn w:val="Fuentedeprrafopredeter"/>
    <w:link w:val="Textoindependiente3"/>
    <w:rsid w:val="007227D3"/>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7227D3"/>
    <w:pPr>
      <w:jc w:val="both"/>
    </w:pPr>
    <w:rPr>
      <w:rFonts w:ascii="Tahoma" w:hAnsi="Tahoma"/>
      <w:sz w:val="22"/>
      <w:szCs w:val="20"/>
    </w:rPr>
  </w:style>
  <w:style w:type="paragraph" w:styleId="Prrafodelista">
    <w:name w:val="List Paragraph"/>
    <w:basedOn w:val="Normal"/>
    <w:qFormat/>
    <w:rsid w:val="007227D3"/>
    <w:pPr>
      <w:widowControl w:val="0"/>
      <w:suppressAutoHyphens/>
      <w:ind w:left="708"/>
    </w:pPr>
    <w:rPr>
      <w:szCs w:val="20"/>
      <w:lang w:val="es-ES_tradnl"/>
    </w:rPr>
  </w:style>
  <w:style w:type="paragraph" w:styleId="Textonotapie">
    <w:name w:val="footnote text"/>
    <w:aliases w:val="Car,Car Car Car,Car4, Car,Car Car1,Texto nota pie1,Texto independiente1, Car4,Body Text,Texto independiente11, Car1 Car,Car1 Car, Car2 Car Car Car Car Car, Car2 Car Car, Car2 Car Car Car Car Car Car, Car2 Car1 Car, Car Car Car, Car2 Car"/>
    <w:basedOn w:val="Normal"/>
    <w:link w:val="TextonotapieCar"/>
    <w:rsid w:val="007227D3"/>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1 Car Car,Car1 Car Car, Car2 Car Car Car Car Car Car1, Car2 Car Car Car"/>
    <w:basedOn w:val="Fuentedeprrafopredeter"/>
    <w:link w:val="Textonotapie"/>
    <w:rsid w:val="007227D3"/>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7227D3"/>
    <w:rPr>
      <w:rFonts w:cs="Times New Roman"/>
      <w:vertAlign w:val="superscript"/>
    </w:rPr>
  </w:style>
  <w:style w:type="paragraph" w:styleId="NormalWeb">
    <w:name w:val="Normal (Web)"/>
    <w:basedOn w:val="Normal"/>
    <w:rsid w:val="007227D3"/>
    <w:pPr>
      <w:spacing w:before="100" w:beforeAutospacing="1" w:after="100" w:afterAutospacing="1"/>
    </w:pPr>
  </w:style>
  <w:style w:type="paragraph" w:styleId="Sangradetextonormal">
    <w:name w:val="Body Text Indent"/>
    <w:basedOn w:val="Normal"/>
    <w:link w:val="SangradetextonormalCar"/>
    <w:rsid w:val="007227D3"/>
    <w:pPr>
      <w:spacing w:after="120"/>
      <w:ind w:left="283"/>
    </w:pPr>
  </w:style>
  <w:style w:type="character" w:customStyle="1" w:styleId="SangradetextonormalCar">
    <w:name w:val="Sangría de texto normal Car"/>
    <w:basedOn w:val="Fuentedeprrafopredeter"/>
    <w:link w:val="Sangradetextonormal"/>
    <w:rsid w:val="007227D3"/>
    <w:rPr>
      <w:rFonts w:ascii="Times New Roman" w:eastAsia="Times New Roman" w:hAnsi="Times New Roman" w:cs="Times New Roman"/>
      <w:sz w:val="24"/>
      <w:szCs w:val="24"/>
      <w:lang w:eastAsia="es-ES"/>
    </w:rPr>
  </w:style>
  <w:style w:type="paragraph" w:styleId="Encabezado">
    <w:name w:val="header"/>
    <w:aliases w:val="maria,h"/>
    <w:basedOn w:val="Normal"/>
    <w:link w:val="EncabezadoCar"/>
    <w:uiPriority w:val="99"/>
    <w:semiHidden/>
    <w:unhideWhenUsed/>
    <w:rsid w:val="00306EEC"/>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306EEC"/>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306EEC"/>
    <w:pPr>
      <w:tabs>
        <w:tab w:val="center" w:pos="4252"/>
        <w:tab w:val="right" w:pos="8504"/>
      </w:tabs>
    </w:pPr>
  </w:style>
  <w:style w:type="character" w:customStyle="1" w:styleId="PiedepginaCar">
    <w:name w:val="Pie de página Car"/>
    <w:basedOn w:val="Fuentedeprrafopredeter"/>
    <w:link w:val="Piedepgina"/>
    <w:uiPriority w:val="99"/>
    <w:rsid w:val="00306EEC"/>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30297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5</Pages>
  <Words>1687</Words>
  <Characters>9279</Characters>
  <Application>Microsoft Office Word</Application>
  <DocSecurity>0</DocSecurity>
  <Lines>77</Lines>
  <Paragraphs>21</Paragraphs>
  <ScaleCrop>false</ScaleCrop>
  <Company/>
  <LinksUpToDate>false</LinksUpToDate>
  <CharactersWithSpaces>10945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6</cp:revision>
  <cp:lastPrinted>2011-07-25T16:23:00Z</cp:lastPrinted>
  <dcterms:created xsi:type="dcterms:W3CDTF">2011-07-25T16:09:00Z</dcterms:created>
  <dcterms:modified xsi:type="dcterms:W3CDTF">2011-08-15T16:33:00Z</dcterms:modified>
</cp:coreProperties>
</file>